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DBD69" w14:textId="4FEC40B0" w:rsidR="00874DF7" w:rsidRDefault="00077A09" w:rsidP="00513B81">
      <w:pPr>
        <w:tabs>
          <w:tab w:val="right" w:pos="9072"/>
        </w:tabs>
        <w:jc w:val="both"/>
      </w:pPr>
      <w:r w:rsidRPr="001E0469">
        <w:rPr>
          <w:noProof/>
          <w:lang w:eastAsia="fr-FR"/>
        </w:rPr>
        <w:drawing>
          <wp:anchor distT="0" distB="0" distL="114300" distR="114300" simplePos="0" relativeHeight="251659264" behindDoc="0" locked="0" layoutInCell="1" allowOverlap="1" wp14:anchorId="40E81C25" wp14:editId="4225C989">
            <wp:simplePos x="0" y="0"/>
            <wp:positionH relativeFrom="margin">
              <wp:posOffset>1390650</wp:posOffset>
            </wp:positionH>
            <wp:positionV relativeFrom="paragraph">
              <wp:posOffset>-97155</wp:posOffset>
            </wp:positionV>
            <wp:extent cx="1266825" cy="474345"/>
            <wp:effectExtent l="0" t="0" r="9525" b="1905"/>
            <wp:wrapNone/>
            <wp:docPr id="1" name="Image 1" descr="5_21invest_akkurat_freccia_chiusa_costruzione_180530_6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5_21invest_akkurat_freccia_chiusa_costruzione_180530_600px"/>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47434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4F45B71E" wp14:editId="0F10484E">
            <wp:simplePos x="0" y="0"/>
            <wp:positionH relativeFrom="margin">
              <wp:posOffset>3025140</wp:posOffset>
            </wp:positionH>
            <wp:positionV relativeFrom="paragraph">
              <wp:posOffset>-6350</wp:posOffset>
            </wp:positionV>
            <wp:extent cx="1329690" cy="3810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969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A7C2D" w:rsidRPr="001E0469">
        <w:rPr>
          <w:noProof/>
          <w:lang w:eastAsia="fr-FR"/>
        </w:rPr>
        <mc:AlternateContent>
          <mc:Choice Requires="wps">
            <w:drawing>
              <wp:anchor distT="0" distB="0" distL="114300" distR="114300" simplePos="0" relativeHeight="251658239" behindDoc="0" locked="0" layoutInCell="1" allowOverlap="1" wp14:anchorId="62694BEE" wp14:editId="7479737D">
                <wp:simplePos x="0" y="0"/>
                <wp:positionH relativeFrom="margin">
                  <wp:align>center</wp:align>
                </wp:positionH>
                <wp:positionV relativeFrom="paragraph">
                  <wp:posOffset>-89535</wp:posOffset>
                </wp:positionV>
                <wp:extent cx="0" cy="440690"/>
                <wp:effectExtent l="0" t="0" r="38100" b="35560"/>
                <wp:wrapNone/>
                <wp:docPr id="5"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690"/>
                        </a:xfrm>
                        <a:prstGeom prst="line">
                          <a:avLst/>
                        </a:prstGeom>
                        <a:noFill/>
                        <a:ln w="9525">
                          <a:solidFill>
                            <a:schemeClr val="accent6"/>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9EA418C" id="Connecteur droit 7" o:spid="_x0000_s1026" style="position:absolute;z-index:251658239;visibility:visible;mso-wrap-style:square;mso-wrap-distance-left:9pt;mso-wrap-distance-top:0;mso-wrap-distance-right:9pt;mso-wrap-distance-bottom:0;mso-position-horizontal:center;mso-position-horizontal-relative:margin;mso-position-vertical:absolute;mso-position-vertical-relative:text" from="0,-7.05pt" to="0,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" strokecolor="#cbc9c7 [3209]">
                <w10:wrap anchorx="margin"/>
              </v:line>
            </w:pict>
          </mc:Fallback>
        </mc:AlternateContent>
      </w:r>
      <w:r>
        <w:tab/>
      </w:r>
    </w:p>
    <w:p w14:paraId="67C82CC6" w14:textId="5A767045" w:rsidR="00874DF7" w:rsidRPr="00874DF7" w:rsidRDefault="00874DF7" w:rsidP="00B46E54">
      <w:pPr>
        <w:jc w:val="both"/>
      </w:pPr>
    </w:p>
    <w:p w14:paraId="056AA904" w14:textId="6EA1413E" w:rsidR="00874DF7" w:rsidRDefault="00874DF7" w:rsidP="00B46E54">
      <w:pPr>
        <w:jc w:val="both"/>
      </w:pPr>
    </w:p>
    <w:p w14:paraId="7FCDBDC0" w14:textId="0B4963BF" w:rsidR="00874DF7" w:rsidRDefault="00874DF7" w:rsidP="00B46E54">
      <w:pPr>
        <w:pStyle w:val="Sansinterligne"/>
        <w:jc w:val="both"/>
        <w:rPr>
          <w:rFonts w:ascii="IBM Plex Sans" w:hAnsi="IBM Plex Sans"/>
          <w:color w:val="64665D"/>
          <w:sz w:val="28"/>
        </w:rPr>
      </w:pPr>
      <w:r w:rsidRPr="005E65C1">
        <w:rPr>
          <w:rFonts w:ascii="IBM Plex Sans" w:hAnsi="IBM Plex Sans"/>
          <w:color w:val="64665D"/>
          <w:sz w:val="28"/>
        </w:rPr>
        <w:t>COMMUNIQUÉ DE PRESSE</w:t>
      </w:r>
    </w:p>
    <w:p w14:paraId="12F55D1F" w14:textId="05551B7B" w:rsidR="00874DF7" w:rsidRPr="007C5BE2" w:rsidRDefault="00874DF7" w:rsidP="00B46E54">
      <w:pPr>
        <w:pStyle w:val="Sansinterligne"/>
        <w:jc w:val="both"/>
        <w:rPr>
          <w:rFonts w:ascii="IBM Plex Sans" w:hAnsi="IBM Plex Sans"/>
          <w:color w:val="64665D"/>
        </w:rPr>
      </w:pPr>
      <w:r w:rsidRPr="006917DD">
        <w:rPr>
          <w:rFonts w:ascii="IBM Plex Sans" w:hAnsi="IBM Plex Sans"/>
          <w:color w:val="64665D"/>
        </w:rPr>
        <w:t xml:space="preserve">Paris, le </w:t>
      </w:r>
      <w:r w:rsidR="00EE2D26">
        <w:rPr>
          <w:rFonts w:ascii="IBM Plex Sans" w:hAnsi="IBM Plex Sans"/>
          <w:color w:val="64665D"/>
        </w:rPr>
        <w:t>4 novembre</w:t>
      </w:r>
      <w:r w:rsidR="00A25C7C">
        <w:rPr>
          <w:rFonts w:ascii="IBM Plex Sans" w:hAnsi="IBM Plex Sans"/>
          <w:color w:val="64665D"/>
        </w:rPr>
        <w:t xml:space="preserve"> 202</w:t>
      </w:r>
      <w:r w:rsidR="00EE2D26">
        <w:rPr>
          <w:rFonts w:ascii="IBM Plex Sans" w:hAnsi="IBM Plex Sans"/>
          <w:color w:val="64665D"/>
        </w:rPr>
        <w:t>4</w:t>
      </w:r>
    </w:p>
    <w:p w14:paraId="6A02372A" w14:textId="19843A35" w:rsidR="00874DF7" w:rsidRDefault="00874DF7" w:rsidP="00AE5C55">
      <w:pPr>
        <w:pStyle w:val="Sansinterligne"/>
        <w:rPr>
          <w:rFonts w:ascii="IBM Plex Sans" w:eastAsia="Times New Roman" w:hAnsi="IBM Plex Sans"/>
          <w:color w:val="528589"/>
          <w:sz w:val="28"/>
          <w:szCs w:val="32"/>
        </w:rPr>
      </w:pPr>
    </w:p>
    <w:p w14:paraId="1505F431" w14:textId="0E1850E2" w:rsidR="00500097" w:rsidRPr="00410E1B" w:rsidRDefault="006A2BC0" w:rsidP="00AE5C55">
      <w:pPr>
        <w:pStyle w:val="Sansinterligne"/>
        <w:rPr>
          <w:rFonts w:ascii="IBM Plex Sans" w:eastAsia="Times New Roman" w:hAnsi="IBM Plex Sans"/>
          <w:color w:val="528589" w:themeColor="text2" w:themeShade="BF"/>
          <w:sz w:val="28"/>
          <w:szCs w:val="32"/>
        </w:rPr>
      </w:pPr>
      <w:r w:rsidRPr="00410E1B">
        <w:rPr>
          <w:rFonts w:ascii="IBM Plex Sans" w:eastAsia="Times New Roman" w:hAnsi="IBM Plex Sans"/>
          <w:color w:val="528589" w:themeColor="text2" w:themeShade="BF"/>
          <w:sz w:val="28"/>
          <w:szCs w:val="32"/>
        </w:rPr>
        <w:t xml:space="preserve">Agorastore complète son offre de services avec l’acquisition de Via Mobilis, plateforme </w:t>
      </w:r>
      <w:r w:rsidR="00F72118" w:rsidRPr="00410E1B">
        <w:rPr>
          <w:rFonts w:ascii="IBM Plex Sans" w:eastAsia="Times New Roman" w:hAnsi="IBM Plex Sans"/>
          <w:color w:val="528589" w:themeColor="text2" w:themeShade="BF"/>
          <w:sz w:val="28"/>
          <w:szCs w:val="32"/>
        </w:rPr>
        <w:t>digitale dédiée à l’achat vente de véhicules industriels</w:t>
      </w:r>
      <w:r w:rsidR="00482FCF" w:rsidRPr="00410E1B">
        <w:rPr>
          <w:rFonts w:ascii="IBM Plex Sans" w:eastAsia="Times New Roman" w:hAnsi="IBM Plex Sans"/>
          <w:color w:val="528589" w:themeColor="text2" w:themeShade="BF"/>
          <w:sz w:val="28"/>
          <w:szCs w:val="32"/>
        </w:rPr>
        <w:t xml:space="preserve"> </w:t>
      </w:r>
      <w:r w:rsidR="001C66B7" w:rsidRPr="00410E1B">
        <w:rPr>
          <w:rFonts w:ascii="IBM Plex Sans" w:eastAsia="Times New Roman" w:hAnsi="IBM Plex Sans"/>
          <w:color w:val="528589" w:themeColor="text2" w:themeShade="BF"/>
          <w:sz w:val="28"/>
          <w:szCs w:val="32"/>
        </w:rPr>
        <w:t>d’occasion</w:t>
      </w:r>
      <w:r w:rsidR="00F72118" w:rsidRPr="00410E1B">
        <w:rPr>
          <w:rFonts w:ascii="IBM Plex Sans" w:eastAsia="Times New Roman" w:hAnsi="IBM Plex Sans"/>
          <w:color w:val="528589" w:themeColor="text2" w:themeShade="BF"/>
          <w:sz w:val="28"/>
          <w:szCs w:val="32"/>
        </w:rPr>
        <w:t xml:space="preserve"> </w:t>
      </w:r>
    </w:p>
    <w:p w14:paraId="5A503A38" w14:textId="77777777" w:rsidR="006A2BC0" w:rsidRDefault="006A2BC0" w:rsidP="00AE5C55">
      <w:pPr>
        <w:pStyle w:val="Sansinterligne"/>
        <w:rPr>
          <w:rFonts w:ascii="IBM Plex Sans" w:eastAsia="Times New Roman" w:hAnsi="IBM Plex Sans"/>
          <w:color w:val="528589"/>
          <w:sz w:val="28"/>
          <w:szCs w:val="32"/>
        </w:rPr>
      </w:pPr>
    </w:p>
    <w:p w14:paraId="7978AECC" w14:textId="71DD3CB2" w:rsidR="00500097" w:rsidRPr="00410E1B" w:rsidRDefault="006A2BC0" w:rsidP="00AE5C55">
      <w:pPr>
        <w:pStyle w:val="Sansinterligne"/>
        <w:rPr>
          <w:rFonts w:ascii="IBM Plex Sans" w:eastAsiaTheme="minorEastAsia" w:hAnsi="IBM Plex Sans"/>
          <w:spacing w:val="15"/>
          <w:sz w:val="20"/>
          <w:szCs w:val="20"/>
        </w:rPr>
      </w:pPr>
      <w:r w:rsidRPr="00410E1B">
        <w:rPr>
          <w:rFonts w:ascii="IBM Plex Sans" w:eastAsiaTheme="minorEastAsia" w:hAnsi="IBM Plex Sans"/>
          <w:spacing w:val="15"/>
          <w:sz w:val="20"/>
          <w:szCs w:val="20"/>
        </w:rPr>
        <w:t>Le Groupe Agorastore, leader des ventes aux enchères digitales BtoB, soutenu par 21 Invest France, poursuit sa stratégie d’expansion avec l’acquisition de Via Mobilis</w:t>
      </w:r>
      <w:r w:rsidR="007353B7" w:rsidRPr="00410E1B">
        <w:rPr>
          <w:rFonts w:ascii="IBM Plex Sans" w:eastAsiaTheme="minorEastAsia" w:hAnsi="IBM Plex Sans"/>
          <w:spacing w:val="15"/>
          <w:sz w:val="20"/>
          <w:szCs w:val="20"/>
        </w:rPr>
        <w:t xml:space="preserve">. </w:t>
      </w:r>
      <w:r w:rsidRPr="00410E1B">
        <w:rPr>
          <w:rFonts w:ascii="IBM Plex Sans" w:eastAsiaTheme="minorEastAsia" w:hAnsi="IBM Plex Sans"/>
          <w:spacing w:val="15"/>
          <w:sz w:val="20"/>
          <w:szCs w:val="20"/>
        </w:rPr>
        <w:t>Cette acquisition stratégique intervient après l’intégration réussie d’Auctelia et de Clicpublic</w:t>
      </w:r>
      <w:r w:rsidR="00C14031" w:rsidRPr="00410E1B">
        <w:rPr>
          <w:rFonts w:ascii="IBM Plex Sans" w:eastAsiaTheme="minorEastAsia" w:hAnsi="IBM Plex Sans"/>
          <w:spacing w:val="15"/>
          <w:sz w:val="20"/>
          <w:szCs w:val="20"/>
        </w:rPr>
        <w:t xml:space="preserve"> en Belgique</w:t>
      </w:r>
      <w:r w:rsidRPr="00410E1B">
        <w:rPr>
          <w:rFonts w:ascii="IBM Plex Sans" w:eastAsiaTheme="minorEastAsia" w:hAnsi="IBM Plex Sans"/>
          <w:spacing w:val="15"/>
          <w:sz w:val="20"/>
          <w:szCs w:val="20"/>
        </w:rPr>
        <w:t xml:space="preserve">, et renforce la présence d’Agorastore sur </w:t>
      </w:r>
      <w:r w:rsidR="00EA3E9A" w:rsidRPr="00410E1B">
        <w:rPr>
          <w:rFonts w:ascii="IBM Plex Sans" w:eastAsiaTheme="minorEastAsia" w:hAnsi="IBM Plex Sans"/>
          <w:spacing w:val="15"/>
          <w:sz w:val="20"/>
          <w:szCs w:val="20"/>
        </w:rPr>
        <w:t>s</w:t>
      </w:r>
      <w:r w:rsidRPr="00410E1B">
        <w:rPr>
          <w:rFonts w:ascii="IBM Plex Sans" w:eastAsiaTheme="minorEastAsia" w:hAnsi="IBM Plex Sans"/>
          <w:spacing w:val="15"/>
          <w:sz w:val="20"/>
          <w:szCs w:val="20"/>
        </w:rPr>
        <w:t>e</w:t>
      </w:r>
      <w:r w:rsidR="00850818" w:rsidRPr="00410E1B">
        <w:rPr>
          <w:rFonts w:ascii="IBM Plex Sans" w:eastAsiaTheme="minorEastAsia" w:hAnsi="IBM Plex Sans"/>
          <w:spacing w:val="15"/>
          <w:sz w:val="20"/>
          <w:szCs w:val="20"/>
        </w:rPr>
        <w:t>s</w:t>
      </w:r>
      <w:r w:rsidRPr="00410E1B">
        <w:rPr>
          <w:rFonts w:ascii="IBM Plex Sans" w:eastAsiaTheme="minorEastAsia" w:hAnsi="IBM Plex Sans"/>
          <w:spacing w:val="15"/>
          <w:sz w:val="20"/>
          <w:szCs w:val="20"/>
        </w:rPr>
        <w:t xml:space="preserve"> marché</w:t>
      </w:r>
      <w:r w:rsidR="00850818" w:rsidRPr="00410E1B">
        <w:rPr>
          <w:rFonts w:ascii="IBM Plex Sans" w:eastAsiaTheme="minorEastAsia" w:hAnsi="IBM Plex Sans"/>
          <w:spacing w:val="15"/>
          <w:sz w:val="20"/>
          <w:szCs w:val="20"/>
        </w:rPr>
        <w:t>s</w:t>
      </w:r>
      <w:r w:rsidRPr="00410E1B">
        <w:rPr>
          <w:rFonts w:ascii="IBM Plex Sans" w:eastAsiaTheme="minorEastAsia" w:hAnsi="IBM Plex Sans"/>
          <w:spacing w:val="15"/>
          <w:sz w:val="20"/>
          <w:szCs w:val="20"/>
        </w:rPr>
        <w:t xml:space="preserve"> européen</w:t>
      </w:r>
      <w:r w:rsidR="00850818" w:rsidRPr="00410E1B">
        <w:rPr>
          <w:rFonts w:ascii="IBM Plex Sans" w:eastAsiaTheme="minorEastAsia" w:hAnsi="IBM Plex Sans"/>
          <w:spacing w:val="15"/>
          <w:sz w:val="20"/>
          <w:szCs w:val="20"/>
        </w:rPr>
        <w:t>s</w:t>
      </w:r>
      <w:r w:rsidRPr="00410E1B">
        <w:rPr>
          <w:rFonts w:ascii="IBM Plex Sans" w:eastAsiaTheme="minorEastAsia" w:hAnsi="IBM Plex Sans"/>
          <w:spacing w:val="15"/>
          <w:sz w:val="20"/>
          <w:szCs w:val="20"/>
        </w:rPr>
        <w:t>.</w:t>
      </w:r>
    </w:p>
    <w:p w14:paraId="3EF9CA8C" w14:textId="0FDC20E6" w:rsidR="006A2BC0" w:rsidRPr="00410E1B" w:rsidRDefault="006A2BC0" w:rsidP="00AE5C55">
      <w:pPr>
        <w:pStyle w:val="Sansinterligne"/>
        <w:rPr>
          <w:rFonts w:ascii="IBM Plex Sans" w:eastAsiaTheme="minorEastAsia" w:hAnsi="IBM Plex Sans"/>
          <w:spacing w:val="15"/>
          <w:sz w:val="20"/>
          <w:szCs w:val="20"/>
        </w:rPr>
      </w:pPr>
    </w:p>
    <w:p w14:paraId="47663906" w14:textId="1AF65815" w:rsidR="007214D6" w:rsidRPr="00410E1B" w:rsidRDefault="0033088B" w:rsidP="0033088B">
      <w:pPr>
        <w:pStyle w:val="Sansinterligne"/>
        <w:rPr>
          <w:rFonts w:ascii="IBM Plex Sans" w:hAnsi="IBM Plex Sans"/>
          <w:sz w:val="20"/>
          <w:szCs w:val="20"/>
        </w:rPr>
      </w:pPr>
      <w:r w:rsidRPr="00410E1B">
        <w:rPr>
          <w:rFonts w:ascii="IBM Plex Sans" w:hAnsi="IBM Plex Sans"/>
          <w:sz w:val="20"/>
          <w:szCs w:val="20"/>
        </w:rPr>
        <w:t>Acteur de l’économie circulaire depuis 2005, Agorastore permet aux entreprises et collectivités</w:t>
      </w:r>
      <w:r w:rsidR="00937DA7" w:rsidRPr="00410E1B">
        <w:rPr>
          <w:rFonts w:ascii="IBM Plex Sans" w:hAnsi="IBM Plex Sans"/>
          <w:sz w:val="20"/>
          <w:szCs w:val="20"/>
        </w:rPr>
        <w:t xml:space="preserve"> </w:t>
      </w:r>
      <w:r w:rsidRPr="00410E1B">
        <w:rPr>
          <w:rFonts w:ascii="IBM Plex Sans" w:hAnsi="IBM Plex Sans"/>
          <w:sz w:val="20"/>
          <w:szCs w:val="20"/>
        </w:rPr>
        <w:t>publiques de donner une seconde vie à leurs biens d’équipement et actifs immobiliers au travers</w:t>
      </w:r>
      <w:r w:rsidR="00937DA7" w:rsidRPr="00410E1B">
        <w:rPr>
          <w:rFonts w:ascii="IBM Plex Sans" w:hAnsi="IBM Plex Sans"/>
          <w:sz w:val="20"/>
          <w:szCs w:val="20"/>
        </w:rPr>
        <w:t xml:space="preserve"> </w:t>
      </w:r>
      <w:r w:rsidRPr="00410E1B">
        <w:rPr>
          <w:rFonts w:ascii="IBM Plex Sans" w:hAnsi="IBM Plex Sans"/>
          <w:sz w:val="20"/>
          <w:szCs w:val="20"/>
        </w:rPr>
        <w:t xml:space="preserve">d’une plateforme d’enchères en ligne et de services associés. </w:t>
      </w:r>
      <w:r w:rsidR="006A2BC0" w:rsidRPr="00410E1B">
        <w:rPr>
          <w:rFonts w:ascii="IBM Plex Sans" w:hAnsi="IBM Plex Sans"/>
          <w:sz w:val="20"/>
          <w:szCs w:val="20"/>
        </w:rPr>
        <w:t xml:space="preserve">Grâce à cette acquisition, Agorastore élargit son offre de services pour répondre aux besoins de ses clients en matière de revente </w:t>
      </w:r>
      <w:r w:rsidR="00133AB5" w:rsidRPr="00410E1B">
        <w:rPr>
          <w:rFonts w:ascii="IBM Plex Sans" w:hAnsi="IBM Plex Sans"/>
          <w:sz w:val="20"/>
          <w:szCs w:val="20"/>
        </w:rPr>
        <w:t xml:space="preserve">de véhicules et </w:t>
      </w:r>
      <w:r w:rsidR="006A2BC0" w:rsidRPr="00410E1B">
        <w:rPr>
          <w:rFonts w:ascii="IBM Plex Sans" w:hAnsi="IBM Plex Sans"/>
          <w:sz w:val="20"/>
          <w:szCs w:val="20"/>
        </w:rPr>
        <w:t>d’équipements professionnels.</w:t>
      </w:r>
    </w:p>
    <w:p w14:paraId="759D1488" w14:textId="77777777" w:rsidR="006A2BC0" w:rsidRPr="00F97D27" w:rsidRDefault="006A2BC0" w:rsidP="00AE5C55">
      <w:pPr>
        <w:pStyle w:val="Sansinterligne"/>
        <w:rPr>
          <w:rFonts w:ascii="IBM Plex Sans" w:hAnsi="IBM Plex Sans"/>
          <w:sz w:val="20"/>
          <w:szCs w:val="20"/>
        </w:rPr>
      </w:pPr>
    </w:p>
    <w:p w14:paraId="7CFC6E27" w14:textId="767700B3" w:rsidR="006A2BC0" w:rsidRPr="006A2BC0" w:rsidRDefault="006A2BC0" w:rsidP="00AE5C55">
      <w:pPr>
        <w:pStyle w:val="Sansinterligne"/>
        <w:rPr>
          <w:rFonts w:ascii="IBM Plex Sans" w:hAnsi="IBM Plex Sans"/>
          <w:b/>
          <w:bCs/>
          <w:sz w:val="20"/>
          <w:szCs w:val="20"/>
        </w:rPr>
      </w:pPr>
      <w:r w:rsidRPr="006A2BC0">
        <w:rPr>
          <w:rFonts w:ascii="IBM Plex Sans" w:hAnsi="IBM Plex Sans"/>
          <w:b/>
          <w:bCs/>
          <w:sz w:val="20"/>
          <w:szCs w:val="20"/>
        </w:rPr>
        <w:t>Un leader en pleine expansion</w:t>
      </w:r>
    </w:p>
    <w:p w14:paraId="4E62DC85" w14:textId="77777777" w:rsidR="006A2BC0" w:rsidRDefault="006A2BC0" w:rsidP="00AE5C55">
      <w:pPr>
        <w:pStyle w:val="Sansinterligne"/>
        <w:rPr>
          <w:rFonts w:ascii="IBM Plex Sans" w:hAnsi="IBM Plex Sans"/>
          <w:sz w:val="20"/>
          <w:szCs w:val="20"/>
        </w:rPr>
      </w:pPr>
    </w:p>
    <w:p w14:paraId="7ABD4687" w14:textId="185EA19B" w:rsidR="000B7135" w:rsidRPr="00410E1B" w:rsidRDefault="006A2BC0" w:rsidP="00AE5C55">
      <w:pPr>
        <w:pStyle w:val="Sansinterligne"/>
        <w:rPr>
          <w:rFonts w:ascii="IBM Plex Sans" w:hAnsi="IBM Plex Sans"/>
          <w:sz w:val="20"/>
          <w:szCs w:val="20"/>
        </w:rPr>
      </w:pPr>
      <w:r w:rsidRPr="00410E1B">
        <w:rPr>
          <w:rFonts w:ascii="IBM Plex Sans" w:hAnsi="IBM Plex Sans"/>
          <w:sz w:val="20"/>
          <w:szCs w:val="20"/>
        </w:rPr>
        <w:t xml:space="preserve">Fondée en </w:t>
      </w:r>
      <w:r w:rsidR="00EA3E9A" w:rsidRPr="00410E1B">
        <w:rPr>
          <w:rFonts w:ascii="IBM Plex Sans" w:hAnsi="IBM Plex Sans"/>
          <w:sz w:val="20"/>
          <w:szCs w:val="20"/>
        </w:rPr>
        <w:t>1999</w:t>
      </w:r>
      <w:r w:rsidRPr="00410E1B">
        <w:rPr>
          <w:rFonts w:ascii="IBM Plex Sans" w:hAnsi="IBM Plex Sans"/>
          <w:sz w:val="20"/>
          <w:szCs w:val="20"/>
        </w:rPr>
        <w:t>, Via Mobilis s’est imposée comme une référence en Europe dans le domaine des</w:t>
      </w:r>
      <w:r w:rsidR="00937DA7" w:rsidRPr="00410E1B">
        <w:rPr>
          <w:rFonts w:ascii="IBM Plex Sans" w:hAnsi="IBM Plex Sans"/>
          <w:sz w:val="20"/>
          <w:szCs w:val="20"/>
        </w:rPr>
        <w:t xml:space="preserve"> </w:t>
      </w:r>
      <w:r w:rsidRPr="00410E1B">
        <w:rPr>
          <w:rFonts w:ascii="IBM Plex Sans" w:hAnsi="IBM Plex Sans"/>
          <w:sz w:val="20"/>
          <w:szCs w:val="20"/>
        </w:rPr>
        <w:t xml:space="preserve">annonces </w:t>
      </w:r>
      <w:r w:rsidR="005D6656" w:rsidRPr="00410E1B">
        <w:rPr>
          <w:rFonts w:ascii="IBM Plex Sans" w:hAnsi="IBM Plex Sans"/>
          <w:sz w:val="20"/>
          <w:szCs w:val="20"/>
        </w:rPr>
        <w:t xml:space="preserve">de vente </w:t>
      </w:r>
      <w:r w:rsidR="005F28D9" w:rsidRPr="00410E1B">
        <w:rPr>
          <w:rFonts w:ascii="IBM Plex Sans" w:hAnsi="IBM Plex Sans"/>
          <w:sz w:val="20"/>
          <w:szCs w:val="20"/>
        </w:rPr>
        <w:t xml:space="preserve">de véhicules et </w:t>
      </w:r>
      <w:r w:rsidRPr="00410E1B">
        <w:rPr>
          <w:rFonts w:ascii="IBM Plex Sans" w:hAnsi="IBM Plex Sans"/>
          <w:sz w:val="20"/>
          <w:szCs w:val="20"/>
        </w:rPr>
        <w:t xml:space="preserve">d’équipements d’occasion, avec une forte présence </w:t>
      </w:r>
      <w:r w:rsidR="001359B0" w:rsidRPr="00410E1B">
        <w:rPr>
          <w:rFonts w:ascii="IBM Plex Sans" w:hAnsi="IBM Plex Sans"/>
          <w:sz w:val="20"/>
          <w:szCs w:val="20"/>
        </w:rPr>
        <w:t xml:space="preserve">notamment </w:t>
      </w:r>
      <w:r w:rsidRPr="00410E1B">
        <w:rPr>
          <w:rFonts w:ascii="IBM Plex Sans" w:hAnsi="IBM Plex Sans"/>
          <w:sz w:val="20"/>
          <w:szCs w:val="20"/>
        </w:rPr>
        <w:t xml:space="preserve">en France, Italie, </w:t>
      </w:r>
      <w:r w:rsidR="007E39B5" w:rsidRPr="00410E1B">
        <w:rPr>
          <w:rFonts w:ascii="IBM Plex Sans" w:hAnsi="IBM Plex Sans"/>
          <w:sz w:val="20"/>
          <w:szCs w:val="20"/>
        </w:rPr>
        <w:t xml:space="preserve">Espagne, </w:t>
      </w:r>
      <w:r w:rsidRPr="00410E1B">
        <w:rPr>
          <w:rFonts w:ascii="IBM Plex Sans" w:hAnsi="IBM Plex Sans"/>
          <w:sz w:val="20"/>
          <w:szCs w:val="20"/>
        </w:rPr>
        <w:t xml:space="preserve">Benelux et </w:t>
      </w:r>
      <w:r w:rsidR="00EA3E9A" w:rsidRPr="00410E1B">
        <w:rPr>
          <w:rFonts w:ascii="IBM Plex Sans" w:hAnsi="IBM Plex Sans"/>
          <w:sz w:val="20"/>
          <w:szCs w:val="20"/>
        </w:rPr>
        <w:t>Allemagne</w:t>
      </w:r>
      <w:r w:rsidR="007353B7" w:rsidRPr="00410E1B">
        <w:rPr>
          <w:rFonts w:ascii="IBM Plex Sans" w:hAnsi="IBM Plex Sans"/>
          <w:sz w:val="20"/>
          <w:szCs w:val="20"/>
        </w:rPr>
        <w:t xml:space="preserve"> sur </w:t>
      </w:r>
      <w:r w:rsidR="00D11A8A" w:rsidRPr="00410E1B">
        <w:rPr>
          <w:rFonts w:ascii="IBM Plex Sans" w:hAnsi="IBM Plex Sans"/>
          <w:sz w:val="20"/>
          <w:szCs w:val="20"/>
        </w:rPr>
        <w:t>les</w:t>
      </w:r>
      <w:r w:rsidR="00937DA7" w:rsidRPr="00410E1B">
        <w:rPr>
          <w:rFonts w:ascii="IBM Plex Sans" w:hAnsi="IBM Plex Sans"/>
          <w:sz w:val="20"/>
          <w:szCs w:val="20"/>
        </w:rPr>
        <w:t xml:space="preserve"> </w:t>
      </w:r>
      <w:r w:rsidR="007353B7" w:rsidRPr="00410E1B">
        <w:rPr>
          <w:rFonts w:ascii="IBM Plex Sans" w:hAnsi="IBM Plex Sans"/>
          <w:sz w:val="20"/>
          <w:szCs w:val="20"/>
        </w:rPr>
        <w:t>verticales poids-lourds</w:t>
      </w:r>
      <w:r w:rsidR="00D11A8A" w:rsidRPr="00410E1B">
        <w:rPr>
          <w:rFonts w:ascii="IBM Plex Sans" w:hAnsi="IBM Plex Sans"/>
          <w:sz w:val="20"/>
          <w:szCs w:val="20"/>
        </w:rPr>
        <w:t xml:space="preserve"> (Europe-Ca</w:t>
      </w:r>
      <w:r w:rsidR="00C034A2" w:rsidRPr="00410E1B">
        <w:rPr>
          <w:rFonts w:ascii="IBM Plex Sans" w:hAnsi="IBM Plex Sans"/>
          <w:sz w:val="20"/>
          <w:szCs w:val="20"/>
        </w:rPr>
        <w:t>mions)</w:t>
      </w:r>
      <w:r w:rsidR="007353B7" w:rsidRPr="00410E1B">
        <w:rPr>
          <w:rFonts w:ascii="IBM Plex Sans" w:hAnsi="IBM Plex Sans"/>
          <w:sz w:val="20"/>
          <w:szCs w:val="20"/>
        </w:rPr>
        <w:t>, matériels de travaux publics</w:t>
      </w:r>
      <w:r w:rsidR="00C034A2" w:rsidRPr="00410E1B">
        <w:rPr>
          <w:rFonts w:ascii="IBM Plex Sans" w:hAnsi="IBM Plex Sans"/>
          <w:sz w:val="20"/>
          <w:szCs w:val="20"/>
        </w:rPr>
        <w:t xml:space="preserve"> (Europe-TP)</w:t>
      </w:r>
      <w:r w:rsidR="00156924" w:rsidRPr="00410E1B">
        <w:rPr>
          <w:rFonts w:ascii="IBM Plex Sans" w:hAnsi="IBM Plex Sans"/>
          <w:sz w:val="20"/>
          <w:szCs w:val="20"/>
        </w:rPr>
        <w:t>,</w:t>
      </w:r>
      <w:r w:rsidR="005063F8" w:rsidRPr="00410E1B">
        <w:rPr>
          <w:rFonts w:ascii="IBM Plex Sans" w:hAnsi="IBM Plex Sans"/>
          <w:sz w:val="20"/>
          <w:szCs w:val="20"/>
        </w:rPr>
        <w:t xml:space="preserve"> matériels agricoles</w:t>
      </w:r>
      <w:r w:rsidR="00156924" w:rsidRPr="00410E1B">
        <w:rPr>
          <w:rFonts w:ascii="IBM Plex Sans" w:hAnsi="IBM Plex Sans"/>
          <w:sz w:val="20"/>
          <w:szCs w:val="20"/>
        </w:rPr>
        <w:t xml:space="preserve"> (Europe-Agri), </w:t>
      </w:r>
      <w:r w:rsidR="00854532" w:rsidRPr="00410E1B">
        <w:rPr>
          <w:rFonts w:ascii="IBM Plex Sans" w:hAnsi="IBM Plex Sans"/>
          <w:sz w:val="20"/>
          <w:szCs w:val="20"/>
        </w:rPr>
        <w:t>véhicules utilitaires (Europe-Utilitaires) et matériels de manutention (Europe-Manutention</w:t>
      </w:r>
      <w:r w:rsidR="00C33F99" w:rsidRPr="00410E1B">
        <w:rPr>
          <w:rFonts w:ascii="IBM Plex Sans" w:hAnsi="IBM Plex Sans"/>
          <w:sz w:val="20"/>
          <w:szCs w:val="20"/>
        </w:rPr>
        <w:t>)</w:t>
      </w:r>
      <w:r w:rsidR="005063F8" w:rsidRPr="00410E1B">
        <w:rPr>
          <w:rFonts w:ascii="IBM Plex Sans" w:hAnsi="IBM Plex Sans"/>
          <w:sz w:val="20"/>
          <w:szCs w:val="20"/>
        </w:rPr>
        <w:t xml:space="preserve">. </w:t>
      </w:r>
      <w:r w:rsidRPr="00410E1B">
        <w:rPr>
          <w:rFonts w:ascii="IBM Plex Sans" w:hAnsi="IBM Plex Sans"/>
          <w:sz w:val="20"/>
          <w:szCs w:val="20"/>
        </w:rPr>
        <w:t xml:space="preserve">Via Mobilis </w:t>
      </w:r>
      <w:r w:rsidR="00B74329" w:rsidRPr="00410E1B">
        <w:rPr>
          <w:rFonts w:ascii="IBM Plex Sans" w:hAnsi="IBM Plex Sans"/>
          <w:sz w:val="20"/>
          <w:szCs w:val="20"/>
        </w:rPr>
        <w:t xml:space="preserve">propose un modèle d’abonnement </w:t>
      </w:r>
      <w:r w:rsidR="00504C85" w:rsidRPr="00410E1B">
        <w:rPr>
          <w:rFonts w:ascii="IBM Plex Sans" w:hAnsi="IBM Plex Sans"/>
          <w:sz w:val="20"/>
          <w:szCs w:val="20"/>
        </w:rPr>
        <w:t xml:space="preserve">et de services </w:t>
      </w:r>
      <w:r w:rsidR="00B74329" w:rsidRPr="00410E1B">
        <w:rPr>
          <w:rFonts w:ascii="IBM Plex Sans" w:hAnsi="IBM Plex Sans"/>
          <w:sz w:val="20"/>
          <w:szCs w:val="20"/>
        </w:rPr>
        <w:t xml:space="preserve">à une base fidèle de près de </w:t>
      </w:r>
      <w:r w:rsidR="0088755B">
        <w:rPr>
          <w:rFonts w:ascii="IBM Plex Sans" w:hAnsi="IBM Plex Sans"/>
          <w:sz w:val="20"/>
          <w:szCs w:val="20"/>
        </w:rPr>
        <w:t>6</w:t>
      </w:r>
      <w:r w:rsidR="00B74329" w:rsidRPr="00410E1B">
        <w:rPr>
          <w:rFonts w:ascii="IBM Plex Sans" w:hAnsi="IBM Plex Sans"/>
          <w:sz w:val="20"/>
          <w:szCs w:val="20"/>
        </w:rPr>
        <w:t>,000</w:t>
      </w:r>
      <w:r w:rsidRPr="00410E1B">
        <w:rPr>
          <w:rFonts w:ascii="IBM Plex Sans" w:hAnsi="IBM Plex Sans"/>
          <w:sz w:val="20"/>
          <w:szCs w:val="20"/>
        </w:rPr>
        <w:t xml:space="preserve"> vendeurs actifs et</w:t>
      </w:r>
      <w:r w:rsidR="00B74329" w:rsidRPr="00410E1B">
        <w:rPr>
          <w:rFonts w:ascii="IBM Plex Sans" w:hAnsi="IBM Plex Sans"/>
          <w:sz w:val="20"/>
          <w:szCs w:val="20"/>
        </w:rPr>
        <w:t xml:space="preserve"> capitalise sur</w:t>
      </w:r>
      <w:r w:rsidRPr="00410E1B">
        <w:rPr>
          <w:rFonts w:ascii="IBM Plex Sans" w:hAnsi="IBM Plex Sans"/>
          <w:sz w:val="20"/>
          <w:szCs w:val="20"/>
        </w:rPr>
        <w:t xml:space="preserve"> </w:t>
      </w:r>
      <w:r w:rsidR="00B74329" w:rsidRPr="00410E1B">
        <w:rPr>
          <w:rFonts w:ascii="IBM Plex Sans" w:hAnsi="IBM Plex Sans"/>
          <w:sz w:val="20"/>
          <w:szCs w:val="20"/>
        </w:rPr>
        <w:t>sa</w:t>
      </w:r>
      <w:r w:rsidRPr="00410E1B">
        <w:rPr>
          <w:rFonts w:ascii="IBM Plex Sans" w:hAnsi="IBM Plex Sans"/>
          <w:sz w:val="20"/>
          <w:szCs w:val="20"/>
        </w:rPr>
        <w:t xml:space="preserve"> large audience d’acheteurs</w:t>
      </w:r>
      <w:r w:rsidR="00F72118" w:rsidRPr="00410E1B">
        <w:rPr>
          <w:rFonts w:ascii="IBM Plex Sans" w:hAnsi="IBM Plex Sans"/>
          <w:sz w:val="20"/>
          <w:szCs w:val="20"/>
        </w:rPr>
        <w:t xml:space="preserve"> avec près de 30 millions de visites en 2023.</w:t>
      </w:r>
    </w:p>
    <w:p w14:paraId="2CC3A5EC" w14:textId="48BB5F5B" w:rsidR="006A2BC0" w:rsidRDefault="006A2BC0" w:rsidP="00AE5C55">
      <w:pPr>
        <w:pStyle w:val="Sansinterligne"/>
        <w:rPr>
          <w:rFonts w:ascii="IBM Plex Sans" w:hAnsi="IBM Plex Sans"/>
          <w:color w:val="FF0000"/>
          <w:sz w:val="20"/>
          <w:szCs w:val="20"/>
        </w:rPr>
      </w:pPr>
    </w:p>
    <w:p w14:paraId="34D87C52" w14:textId="53214C18" w:rsidR="005063F8" w:rsidRPr="00410E1B" w:rsidRDefault="005063F8" w:rsidP="005063F8">
      <w:pPr>
        <w:pStyle w:val="Sansinterligne"/>
        <w:rPr>
          <w:rFonts w:ascii="IBM Plex Sans" w:hAnsi="IBM Plex Sans"/>
          <w:sz w:val="20"/>
          <w:szCs w:val="20"/>
        </w:rPr>
      </w:pPr>
      <w:r w:rsidRPr="00410E1B">
        <w:rPr>
          <w:rFonts w:ascii="IBM Plex Sans" w:hAnsi="IBM Plex Sans"/>
          <w:sz w:val="20"/>
          <w:szCs w:val="20"/>
        </w:rPr>
        <w:t xml:space="preserve">Cette acquisition permettra de renforcer la capacité d’Agorastore à proposer des solutions complètes de revente sur </w:t>
      </w:r>
      <w:r w:rsidR="00AF6608" w:rsidRPr="00410E1B">
        <w:rPr>
          <w:rFonts w:ascii="IBM Plex Sans" w:hAnsi="IBM Plex Sans"/>
          <w:sz w:val="20"/>
          <w:szCs w:val="20"/>
        </w:rPr>
        <w:t>de nombreuses</w:t>
      </w:r>
      <w:r w:rsidR="00937DA7" w:rsidRPr="00410E1B">
        <w:rPr>
          <w:rFonts w:ascii="IBM Plex Sans" w:hAnsi="IBM Plex Sans"/>
          <w:sz w:val="20"/>
          <w:szCs w:val="20"/>
        </w:rPr>
        <w:t xml:space="preserve"> </w:t>
      </w:r>
      <w:r w:rsidRPr="00410E1B">
        <w:rPr>
          <w:rFonts w:ascii="IBM Plex Sans" w:hAnsi="IBM Plex Sans"/>
          <w:sz w:val="20"/>
          <w:szCs w:val="20"/>
        </w:rPr>
        <w:t>géographies et via différents canaux.</w:t>
      </w:r>
    </w:p>
    <w:p w14:paraId="5746091D" w14:textId="77777777" w:rsidR="005063F8" w:rsidRDefault="005063F8" w:rsidP="00AE5C55">
      <w:pPr>
        <w:pStyle w:val="Sansinterligne"/>
        <w:rPr>
          <w:rFonts w:ascii="IBM Plex Sans" w:hAnsi="IBM Plex Sans"/>
          <w:color w:val="FF0000"/>
          <w:sz w:val="20"/>
          <w:szCs w:val="20"/>
        </w:rPr>
      </w:pPr>
    </w:p>
    <w:p w14:paraId="12D5597C" w14:textId="7102BC41" w:rsidR="006A2BC0" w:rsidRPr="006A2BC0" w:rsidRDefault="00E00F7A" w:rsidP="00AE5C55">
      <w:pPr>
        <w:pStyle w:val="Sansinterligne"/>
        <w:rPr>
          <w:rFonts w:ascii="IBM Plex Sans" w:hAnsi="IBM Plex Sans"/>
          <w:sz w:val="20"/>
          <w:szCs w:val="20"/>
        </w:rPr>
      </w:pPr>
      <w:r>
        <w:rPr>
          <w:rFonts w:ascii="IBM Plex Sans" w:hAnsi="IBM Plex Sans"/>
          <w:sz w:val="20"/>
          <w:szCs w:val="20"/>
        </w:rPr>
        <w:t xml:space="preserve">En parallèle, </w:t>
      </w:r>
      <w:r w:rsidRPr="00E00F7A">
        <w:rPr>
          <w:rFonts w:ascii="IBM Plex Sans" w:hAnsi="IBM Plex Sans"/>
          <w:sz w:val="20"/>
          <w:szCs w:val="20"/>
        </w:rPr>
        <w:t xml:space="preserve">Agorastore prévoit une croissance significative dans son activité principale des enchères pour 2024, avec un volume de ventes estimé à près de 180 millions d'euros. Cela représente une augmentation substantielle par rapport aux 100 millions d'euros réalisés en 2022. </w:t>
      </w:r>
    </w:p>
    <w:p w14:paraId="619F1153" w14:textId="41B2C025" w:rsidR="006A2BC0" w:rsidRPr="006A2BC0" w:rsidRDefault="006A2BC0" w:rsidP="00AE5C55">
      <w:pPr>
        <w:pStyle w:val="Sansinterligne"/>
        <w:rPr>
          <w:rFonts w:ascii="IBM Plex Sans" w:hAnsi="IBM Plex Sans"/>
          <w:b/>
          <w:bCs/>
          <w:sz w:val="20"/>
          <w:szCs w:val="20"/>
        </w:rPr>
      </w:pPr>
    </w:p>
    <w:p w14:paraId="01821F84" w14:textId="337AC47F" w:rsidR="006A2BC0" w:rsidRDefault="006A2BC0" w:rsidP="00AE5C55">
      <w:pPr>
        <w:pStyle w:val="Sansinterligne"/>
        <w:rPr>
          <w:rFonts w:ascii="IBM Plex Sans" w:hAnsi="IBM Plex Sans"/>
          <w:b/>
          <w:bCs/>
          <w:sz w:val="20"/>
          <w:szCs w:val="20"/>
        </w:rPr>
      </w:pPr>
      <w:r w:rsidRPr="006A2BC0">
        <w:rPr>
          <w:rFonts w:ascii="IBM Plex Sans" w:hAnsi="IBM Plex Sans"/>
          <w:b/>
          <w:bCs/>
          <w:sz w:val="20"/>
          <w:szCs w:val="20"/>
        </w:rPr>
        <w:t>Vers une stratégie d’internationalisation accrue</w:t>
      </w:r>
    </w:p>
    <w:p w14:paraId="07D118FA" w14:textId="77777777" w:rsidR="006A2BC0" w:rsidRPr="006A2BC0" w:rsidRDefault="006A2BC0" w:rsidP="00AE5C55">
      <w:pPr>
        <w:pStyle w:val="Sansinterligne"/>
        <w:rPr>
          <w:rFonts w:ascii="IBM Plex Sans" w:hAnsi="IBM Plex Sans"/>
          <w:b/>
          <w:bCs/>
          <w:sz w:val="20"/>
          <w:szCs w:val="20"/>
        </w:rPr>
      </w:pPr>
    </w:p>
    <w:p w14:paraId="137B4F17" w14:textId="7A721CEC" w:rsidR="00F94CB7" w:rsidRPr="00B34B3C" w:rsidRDefault="00A84C48" w:rsidP="00B34B3C">
      <w:pPr>
        <w:rPr>
          <w:rFonts w:ascii="IBM Plex Sans" w:hAnsi="IBM Plex Sans"/>
          <w:sz w:val="20"/>
          <w:szCs w:val="20"/>
        </w:rPr>
      </w:pPr>
      <w:r w:rsidRPr="00A84C48">
        <w:rPr>
          <w:rFonts w:ascii="IBM Plex Sans" w:hAnsi="IBM Plex Sans"/>
          <w:sz w:val="20"/>
          <w:szCs w:val="20"/>
        </w:rPr>
        <w:t xml:space="preserve">En </w:t>
      </w:r>
      <w:r>
        <w:rPr>
          <w:rFonts w:ascii="IBM Plex Sans" w:hAnsi="IBM Plex Sans"/>
          <w:sz w:val="20"/>
          <w:szCs w:val="20"/>
        </w:rPr>
        <w:t>parallèle</w:t>
      </w:r>
      <w:r w:rsidRPr="00A84C48">
        <w:rPr>
          <w:rFonts w:ascii="IBM Plex Sans" w:hAnsi="IBM Plex Sans"/>
          <w:sz w:val="20"/>
          <w:szCs w:val="20"/>
        </w:rPr>
        <w:t xml:space="preserve"> de sa croissance organique solide, le groupe entend poursuivre sa stratégie d’internationalisation et d’acquisitions. Plusieurs discussions sont à un stade avancé avec des sociétés offrant des complémentarités en termes de géographies et de types de biens revendus, en ligne avec l’ambition du groupe de devenir un acteur européen de référence sur le marché des ventes digitales de biens d’occasion.</w:t>
      </w:r>
    </w:p>
    <w:p w14:paraId="1F1EAD5A" w14:textId="77777777" w:rsidR="00F94CB7" w:rsidRDefault="00F94CB7" w:rsidP="00AE5C55">
      <w:pPr>
        <w:spacing w:before="60" w:after="0" w:line="240" w:lineRule="auto"/>
        <w:rPr>
          <w:rFonts w:ascii="IBM Plex Sans" w:hAnsi="IBM Plex Sans"/>
          <w:b/>
          <w:sz w:val="20"/>
          <w:szCs w:val="20"/>
        </w:rPr>
      </w:pPr>
    </w:p>
    <w:p w14:paraId="0217E6C7" w14:textId="7B9F977B" w:rsidR="00077A09" w:rsidRPr="00410E1B" w:rsidRDefault="00077A09" w:rsidP="0096384F">
      <w:pPr>
        <w:spacing w:before="120" w:after="0" w:line="240" w:lineRule="auto"/>
        <w:rPr>
          <w:rFonts w:ascii="IBM Plex Sans" w:hAnsi="IBM Plex Sans"/>
          <w:sz w:val="20"/>
          <w:szCs w:val="20"/>
        </w:rPr>
      </w:pPr>
      <w:r w:rsidRPr="00410E1B">
        <w:rPr>
          <w:rFonts w:ascii="IBM Plex Sans" w:hAnsi="IBM Plex Sans"/>
          <w:b/>
          <w:sz w:val="20"/>
          <w:szCs w:val="20"/>
        </w:rPr>
        <w:lastRenderedPageBreak/>
        <w:t xml:space="preserve">Olivier de La Chaise, CEO d’Agorastore </w:t>
      </w:r>
      <w:r w:rsidRPr="00410E1B">
        <w:rPr>
          <w:rFonts w:ascii="IBM Plex Sans" w:hAnsi="IBM Plex Sans"/>
          <w:sz w:val="20"/>
          <w:szCs w:val="20"/>
        </w:rPr>
        <w:t>déclare</w:t>
      </w:r>
      <w:r w:rsidR="00F97D27" w:rsidRPr="00410E1B">
        <w:rPr>
          <w:rFonts w:ascii="IBM Plex Sans" w:hAnsi="IBM Plex Sans"/>
          <w:sz w:val="20"/>
          <w:szCs w:val="20"/>
        </w:rPr>
        <w:t> </w:t>
      </w:r>
      <w:r w:rsidRPr="00410E1B">
        <w:rPr>
          <w:rFonts w:ascii="IBM Plex Sans" w:hAnsi="IBM Plex Sans"/>
          <w:sz w:val="20"/>
          <w:szCs w:val="20"/>
        </w:rPr>
        <w:t>: «</w:t>
      </w:r>
      <w:r w:rsidR="000E5D96" w:rsidRPr="00410E1B">
        <w:rPr>
          <w:rFonts w:ascii="IBM Plex Sans" w:hAnsi="IBM Plex Sans"/>
          <w:sz w:val="20"/>
          <w:szCs w:val="20"/>
        </w:rPr>
        <w:t xml:space="preserve"> </w:t>
      </w:r>
      <w:r w:rsidR="00850818" w:rsidRPr="00410E1B">
        <w:rPr>
          <w:rFonts w:ascii="IBM Plex Sans" w:hAnsi="IBM Plex Sans"/>
          <w:sz w:val="20"/>
          <w:szCs w:val="20"/>
        </w:rPr>
        <w:t>Cette acquisition représente une étape cruciale dans notre stratégie de croissance et</w:t>
      </w:r>
      <w:r w:rsidR="00A84C48" w:rsidRPr="00410E1B">
        <w:rPr>
          <w:rFonts w:ascii="IBM Plex Sans" w:hAnsi="IBM Plex Sans"/>
          <w:sz w:val="20"/>
          <w:szCs w:val="20"/>
        </w:rPr>
        <w:t xml:space="preserve"> de diversification</w:t>
      </w:r>
      <w:r w:rsidR="00775D77" w:rsidRPr="00410E1B">
        <w:rPr>
          <w:rFonts w:ascii="IBM Plex Sans" w:hAnsi="IBM Plex Sans"/>
          <w:sz w:val="20"/>
          <w:szCs w:val="20"/>
        </w:rPr>
        <w:t>,</w:t>
      </w:r>
      <w:r w:rsidR="00A84C48" w:rsidRPr="00410E1B">
        <w:rPr>
          <w:rFonts w:ascii="IBM Plex Sans" w:hAnsi="IBM Plex Sans"/>
          <w:sz w:val="20"/>
          <w:szCs w:val="20"/>
        </w:rPr>
        <w:t xml:space="preserve"> et</w:t>
      </w:r>
      <w:r w:rsidR="00850818" w:rsidRPr="00410E1B">
        <w:rPr>
          <w:rFonts w:ascii="IBM Plex Sans" w:hAnsi="IBM Plex Sans"/>
          <w:sz w:val="20"/>
          <w:szCs w:val="20"/>
        </w:rPr>
        <w:t xml:space="preserve"> nous permet de nous rapprocher de notre objectif de devenir un acteur européen majeur. L’expertise de Via Mobilis dans les</w:t>
      </w:r>
      <w:r w:rsidR="0030636F" w:rsidRPr="00410E1B">
        <w:rPr>
          <w:rFonts w:ascii="IBM Plex Sans" w:hAnsi="IBM Plex Sans"/>
          <w:sz w:val="20"/>
          <w:szCs w:val="20"/>
        </w:rPr>
        <w:t xml:space="preserve"> </w:t>
      </w:r>
      <w:r w:rsidR="00850818" w:rsidRPr="00410E1B">
        <w:rPr>
          <w:rFonts w:ascii="IBM Plex Sans" w:hAnsi="IBM Plex Sans"/>
          <w:sz w:val="20"/>
          <w:szCs w:val="20"/>
        </w:rPr>
        <w:t>annonces complète parfaitement notre offre</w:t>
      </w:r>
      <w:r w:rsidR="00D577B2" w:rsidRPr="00410E1B">
        <w:rPr>
          <w:rFonts w:ascii="IBM Plex Sans" w:hAnsi="IBM Plex Sans"/>
          <w:sz w:val="20"/>
          <w:szCs w:val="20"/>
        </w:rPr>
        <w:t xml:space="preserve"> existante sur les enchères</w:t>
      </w:r>
      <w:r w:rsidR="00850818" w:rsidRPr="00410E1B">
        <w:rPr>
          <w:rFonts w:ascii="IBM Plex Sans" w:hAnsi="IBM Plex Sans"/>
          <w:sz w:val="20"/>
          <w:szCs w:val="20"/>
        </w:rPr>
        <w:t xml:space="preserve">, et les synergies qui en découlent nous permettront d’optimiser nos opérations et d’accroître notre efficacité sur </w:t>
      </w:r>
      <w:r w:rsidR="000977F4" w:rsidRPr="00410E1B">
        <w:rPr>
          <w:rFonts w:ascii="IBM Plex Sans" w:hAnsi="IBM Plex Sans"/>
          <w:sz w:val="20"/>
          <w:szCs w:val="20"/>
        </w:rPr>
        <w:t xml:space="preserve">les </w:t>
      </w:r>
      <w:r w:rsidR="00850818" w:rsidRPr="00410E1B">
        <w:rPr>
          <w:rFonts w:ascii="IBM Plex Sans" w:hAnsi="IBM Plex Sans"/>
          <w:sz w:val="20"/>
          <w:szCs w:val="20"/>
        </w:rPr>
        <w:t>marchés clés</w:t>
      </w:r>
      <w:r w:rsidR="000977F4" w:rsidRPr="00410E1B">
        <w:rPr>
          <w:rFonts w:ascii="IBM Plex Sans" w:hAnsi="IBM Plex Sans"/>
          <w:sz w:val="20"/>
          <w:szCs w:val="20"/>
        </w:rPr>
        <w:t xml:space="preserve"> de nos clients</w:t>
      </w:r>
      <w:r w:rsidR="00CF6A6B" w:rsidRPr="00410E1B">
        <w:rPr>
          <w:rFonts w:ascii="IBM Plex Sans" w:hAnsi="IBM Plex Sans"/>
          <w:sz w:val="20"/>
          <w:szCs w:val="20"/>
        </w:rPr>
        <w:t>.</w:t>
      </w:r>
      <w:r w:rsidR="000977F4" w:rsidRPr="00410E1B">
        <w:rPr>
          <w:rFonts w:ascii="IBM Plex Sans" w:hAnsi="IBM Plex Sans"/>
          <w:sz w:val="20"/>
          <w:szCs w:val="20"/>
        </w:rPr>
        <w:t xml:space="preserve"> »</w:t>
      </w:r>
    </w:p>
    <w:p w14:paraId="451E73D0" w14:textId="2FBA4D32" w:rsidR="0096384F" w:rsidRPr="00D22F41" w:rsidRDefault="00077A09" w:rsidP="0096384F">
      <w:pPr>
        <w:spacing w:before="120" w:after="0" w:line="240" w:lineRule="auto"/>
        <w:rPr>
          <w:rFonts w:ascii="IBM Plex Sans" w:hAnsi="IBM Plex Sans"/>
          <w:sz w:val="20"/>
          <w:szCs w:val="20"/>
        </w:rPr>
      </w:pPr>
      <w:r w:rsidRPr="00F97D27">
        <w:rPr>
          <w:rFonts w:ascii="IBM Plex Sans" w:hAnsi="IBM Plex Sans"/>
          <w:b/>
          <w:sz w:val="20"/>
          <w:szCs w:val="20"/>
        </w:rPr>
        <w:t>Antoine Vigneron</w:t>
      </w:r>
      <w:r w:rsidR="00CE2E4E" w:rsidRPr="00F97D27">
        <w:rPr>
          <w:rFonts w:ascii="IBM Plex Sans" w:hAnsi="IBM Plex Sans"/>
          <w:b/>
          <w:sz w:val="20"/>
          <w:szCs w:val="20"/>
        </w:rPr>
        <w:t>, Partner</w:t>
      </w:r>
      <w:r w:rsidR="00E00F7A">
        <w:rPr>
          <w:rFonts w:ascii="IBM Plex Sans" w:hAnsi="IBM Plex Sans"/>
          <w:b/>
          <w:sz w:val="20"/>
          <w:szCs w:val="20"/>
        </w:rPr>
        <w:t xml:space="preserve"> et Martin Bellé, Investment Manager</w:t>
      </w:r>
      <w:r w:rsidR="00CE2E4E" w:rsidRPr="00F97D27">
        <w:rPr>
          <w:rFonts w:ascii="IBM Plex Sans" w:hAnsi="IBM Plex Sans"/>
          <w:b/>
          <w:sz w:val="20"/>
          <w:szCs w:val="20"/>
        </w:rPr>
        <w:t xml:space="preserve"> </w:t>
      </w:r>
      <w:r w:rsidRPr="00F97D27">
        <w:rPr>
          <w:rFonts w:ascii="IBM Plex Sans" w:hAnsi="IBM Plex Sans"/>
          <w:b/>
          <w:sz w:val="20"/>
          <w:szCs w:val="20"/>
        </w:rPr>
        <w:t xml:space="preserve">chez 21 Invest </w:t>
      </w:r>
      <w:r w:rsidR="00F97D27">
        <w:rPr>
          <w:rFonts w:ascii="IBM Plex Sans" w:hAnsi="IBM Plex Sans"/>
          <w:b/>
          <w:sz w:val="20"/>
          <w:szCs w:val="20"/>
        </w:rPr>
        <w:t>France</w:t>
      </w:r>
      <w:r w:rsidRPr="00F97D27">
        <w:rPr>
          <w:rFonts w:ascii="IBM Plex Sans" w:hAnsi="IBM Plex Sans"/>
          <w:sz w:val="20"/>
          <w:szCs w:val="20"/>
        </w:rPr>
        <w:t xml:space="preserve"> </w:t>
      </w:r>
      <w:r w:rsidR="00DD68AC" w:rsidRPr="00F97D27">
        <w:rPr>
          <w:rFonts w:ascii="IBM Plex Sans" w:hAnsi="IBM Plex Sans"/>
          <w:sz w:val="20"/>
          <w:szCs w:val="20"/>
        </w:rPr>
        <w:t>comment</w:t>
      </w:r>
      <w:r w:rsidRPr="00F97D27">
        <w:rPr>
          <w:rFonts w:ascii="IBM Plex Sans" w:hAnsi="IBM Plex Sans"/>
          <w:sz w:val="20"/>
          <w:szCs w:val="20"/>
        </w:rPr>
        <w:t>e</w:t>
      </w:r>
      <w:r w:rsidR="00E00F7A">
        <w:rPr>
          <w:rFonts w:ascii="IBM Plex Sans" w:hAnsi="IBM Plex Sans"/>
          <w:sz w:val="20"/>
          <w:szCs w:val="20"/>
        </w:rPr>
        <w:t>nt</w:t>
      </w:r>
      <w:r w:rsidR="00F97D27">
        <w:rPr>
          <w:rFonts w:ascii="IBM Plex Sans" w:hAnsi="IBM Plex Sans"/>
          <w:sz w:val="20"/>
          <w:szCs w:val="20"/>
        </w:rPr>
        <w:t> </w:t>
      </w:r>
      <w:r w:rsidRPr="00F97D27">
        <w:rPr>
          <w:rFonts w:ascii="IBM Plex Sans" w:hAnsi="IBM Plex Sans"/>
          <w:sz w:val="20"/>
          <w:szCs w:val="20"/>
        </w:rPr>
        <w:t>: « </w:t>
      </w:r>
      <w:r w:rsidR="006A2BC0" w:rsidRPr="006A2BC0">
        <w:rPr>
          <w:rFonts w:ascii="IBM Plex Sans" w:hAnsi="IBM Plex Sans"/>
          <w:sz w:val="20"/>
          <w:szCs w:val="20"/>
        </w:rPr>
        <w:t xml:space="preserve">Cette </w:t>
      </w:r>
      <w:r w:rsidR="00E00F7A">
        <w:rPr>
          <w:rFonts w:ascii="IBM Plex Sans" w:hAnsi="IBM Plex Sans"/>
          <w:sz w:val="20"/>
          <w:szCs w:val="20"/>
        </w:rPr>
        <w:t>3</w:t>
      </w:r>
      <w:r w:rsidR="00E00F7A" w:rsidRPr="00E00F7A">
        <w:rPr>
          <w:rFonts w:ascii="IBM Plex Sans" w:hAnsi="IBM Plex Sans"/>
          <w:sz w:val="20"/>
          <w:szCs w:val="20"/>
          <w:vertAlign w:val="superscript"/>
        </w:rPr>
        <w:t>ème</w:t>
      </w:r>
      <w:r w:rsidR="00E00F7A">
        <w:rPr>
          <w:rFonts w:ascii="IBM Plex Sans" w:hAnsi="IBM Plex Sans"/>
          <w:sz w:val="20"/>
          <w:szCs w:val="20"/>
        </w:rPr>
        <w:t xml:space="preserve"> acquisition</w:t>
      </w:r>
      <w:r w:rsidR="008911CA">
        <w:rPr>
          <w:rFonts w:ascii="IBM Plex Sans" w:hAnsi="IBM Plex Sans"/>
          <w:sz w:val="20"/>
          <w:szCs w:val="20"/>
        </w:rPr>
        <w:t xml:space="preserve">, </w:t>
      </w:r>
      <w:r w:rsidR="00E00F7A">
        <w:rPr>
          <w:rFonts w:ascii="IBM Plex Sans" w:hAnsi="IBM Plex Sans"/>
          <w:sz w:val="20"/>
          <w:szCs w:val="20"/>
        </w:rPr>
        <w:t>de</w:t>
      </w:r>
      <w:r w:rsidR="008911CA">
        <w:rPr>
          <w:rFonts w:ascii="IBM Plex Sans" w:hAnsi="IBM Plex Sans"/>
          <w:sz w:val="20"/>
          <w:szCs w:val="20"/>
        </w:rPr>
        <w:t>puis</w:t>
      </w:r>
      <w:r w:rsidR="00E00F7A">
        <w:rPr>
          <w:rFonts w:ascii="IBM Plex Sans" w:hAnsi="IBM Plex Sans"/>
          <w:sz w:val="20"/>
          <w:szCs w:val="20"/>
        </w:rPr>
        <w:t xml:space="preserve"> notre entrée au capital</w:t>
      </w:r>
      <w:r w:rsidR="008911CA">
        <w:rPr>
          <w:rFonts w:ascii="IBM Plex Sans" w:hAnsi="IBM Plex Sans"/>
          <w:sz w:val="20"/>
          <w:szCs w:val="20"/>
        </w:rPr>
        <w:t xml:space="preserve">, </w:t>
      </w:r>
      <w:r w:rsidR="006A2BC0" w:rsidRPr="006A2BC0">
        <w:rPr>
          <w:rFonts w:ascii="IBM Plex Sans" w:hAnsi="IBM Plex Sans"/>
          <w:sz w:val="20"/>
          <w:szCs w:val="20"/>
        </w:rPr>
        <w:t xml:space="preserve">reflète notre ambition d'accélérer le développement d’Agorastore. Le groupe </w:t>
      </w:r>
      <w:r w:rsidR="00E00F7A">
        <w:rPr>
          <w:rFonts w:ascii="IBM Plex Sans" w:hAnsi="IBM Plex Sans"/>
          <w:sz w:val="20"/>
          <w:szCs w:val="20"/>
        </w:rPr>
        <w:t>renforce ainsi ses atouts</w:t>
      </w:r>
      <w:r w:rsidR="006A2BC0" w:rsidRPr="006A2BC0">
        <w:rPr>
          <w:rFonts w:ascii="IBM Plex Sans" w:hAnsi="IBM Plex Sans"/>
          <w:sz w:val="20"/>
          <w:szCs w:val="20"/>
        </w:rPr>
        <w:t xml:space="preserve"> </w:t>
      </w:r>
      <w:r w:rsidR="00E00F7A">
        <w:rPr>
          <w:rFonts w:ascii="IBM Plex Sans" w:hAnsi="IBM Plex Sans"/>
          <w:sz w:val="20"/>
          <w:szCs w:val="20"/>
        </w:rPr>
        <w:t>en combinant la croissance organique avec des acquisitions ciblées sur de nouvelles offres et/ou de nouvelles géographies complémentaires</w:t>
      </w:r>
      <w:r w:rsidR="006A2BC0" w:rsidRPr="006A2BC0">
        <w:rPr>
          <w:rFonts w:ascii="IBM Plex Sans" w:hAnsi="IBM Plex Sans"/>
          <w:sz w:val="20"/>
          <w:szCs w:val="20"/>
        </w:rPr>
        <w:t>.</w:t>
      </w:r>
      <w:r w:rsidR="00176848" w:rsidRPr="00F97D27">
        <w:rPr>
          <w:rFonts w:ascii="IBM Plex Sans" w:hAnsi="IBM Plex Sans"/>
          <w:sz w:val="20"/>
          <w:szCs w:val="20"/>
        </w:rPr>
        <w:t xml:space="preserve"> »</w:t>
      </w:r>
    </w:p>
    <w:p w14:paraId="446A7CCB" w14:textId="7AAD1F0B" w:rsidR="00F94DCC" w:rsidRPr="004D7833" w:rsidRDefault="00E512F6" w:rsidP="0096384F">
      <w:pPr>
        <w:tabs>
          <w:tab w:val="left" w:pos="1875"/>
        </w:tabs>
        <w:spacing w:before="120" w:after="0" w:line="240" w:lineRule="auto"/>
        <w:rPr>
          <w:rFonts w:ascii="IBM Plex Sans" w:hAnsi="IBM Plex Sans"/>
          <w:sz w:val="20"/>
          <w:szCs w:val="20"/>
        </w:rPr>
      </w:pPr>
      <w:r w:rsidRPr="004D7833">
        <w:rPr>
          <w:rFonts w:ascii="IBM Plex Sans" w:hAnsi="IBM Plex Sans"/>
          <w:b/>
          <w:sz w:val="20"/>
          <w:szCs w:val="20"/>
        </w:rPr>
        <w:t>Charles Collot</w:t>
      </w:r>
      <w:r w:rsidR="00DD68AC" w:rsidRPr="004D7833">
        <w:rPr>
          <w:rFonts w:ascii="IBM Plex Sans" w:hAnsi="IBM Plex Sans"/>
          <w:b/>
          <w:sz w:val="20"/>
          <w:szCs w:val="20"/>
        </w:rPr>
        <w:t>, CEO d</w:t>
      </w:r>
      <w:r w:rsidR="00F97D27" w:rsidRPr="004D7833">
        <w:rPr>
          <w:rFonts w:ascii="IBM Plex Sans" w:hAnsi="IBM Plex Sans"/>
          <w:b/>
          <w:sz w:val="20"/>
          <w:szCs w:val="20"/>
        </w:rPr>
        <w:t xml:space="preserve">e </w:t>
      </w:r>
      <w:r w:rsidRPr="004D7833">
        <w:rPr>
          <w:rFonts w:ascii="IBM Plex Sans" w:hAnsi="IBM Plex Sans"/>
          <w:b/>
          <w:sz w:val="20"/>
          <w:szCs w:val="20"/>
        </w:rPr>
        <w:t>Via Mobilis</w:t>
      </w:r>
      <w:r w:rsidR="00DD68AC" w:rsidRPr="004D7833">
        <w:rPr>
          <w:rFonts w:ascii="IBM Plex Sans" w:hAnsi="IBM Plex Sans"/>
          <w:sz w:val="20"/>
          <w:szCs w:val="20"/>
        </w:rPr>
        <w:t xml:space="preserve"> ajoute</w:t>
      </w:r>
      <w:r w:rsidR="00077A09" w:rsidRPr="004D7833">
        <w:rPr>
          <w:rFonts w:ascii="IBM Plex Sans" w:hAnsi="IBM Plex Sans"/>
          <w:sz w:val="20"/>
          <w:szCs w:val="20"/>
        </w:rPr>
        <w:t xml:space="preserve"> : </w:t>
      </w:r>
      <w:r w:rsidR="00057836" w:rsidRPr="004D7833">
        <w:rPr>
          <w:rFonts w:ascii="IBM Plex Sans" w:hAnsi="IBM Plex Sans"/>
          <w:sz w:val="20"/>
          <w:szCs w:val="20"/>
        </w:rPr>
        <w:t>« Nous sommes très heureux de rejoindre le Groupe Agorastore dans cette nouvelle phase d’accélération. Ce rapprochement nous permet d’intensifier notre développement et de renforcer notre impact. Ensemble, nous capitalisons sur les nombreuses complémentarités de nos business mod</w:t>
      </w:r>
      <w:r w:rsidR="00DE494D">
        <w:rPr>
          <w:rFonts w:ascii="IBM Plex Sans" w:hAnsi="IBM Plex Sans"/>
          <w:sz w:val="20"/>
          <w:szCs w:val="20"/>
        </w:rPr>
        <w:t xml:space="preserve">èles </w:t>
      </w:r>
      <w:r w:rsidR="00057836" w:rsidRPr="004D7833">
        <w:rPr>
          <w:rFonts w:ascii="IBM Plex Sans" w:hAnsi="IBM Plex Sans"/>
          <w:sz w:val="20"/>
          <w:szCs w:val="20"/>
        </w:rPr>
        <w:t>et de nos marchés pan-européens . »</w:t>
      </w:r>
    </w:p>
    <w:p w14:paraId="3D1E91BD" w14:textId="77777777" w:rsidR="00F94DCC" w:rsidRPr="00F97D27" w:rsidRDefault="00F94DCC" w:rsidP="00F97D27">
      <w:pPr>
        <w:tabs>
          <w:tab w:val="left" w:pos="1875"/>
        </w:tabs>
        <w:spacing w:after="0" w:line="240" w:lineRule="auto"/>
        <w:jc w:val="both"/>
        <w:rPr>
          <w:rFonts w:ascii="IBM Plex Sans" w:hAnsi="IBM Plex Sans"/>
          <w:sz w:val="20"/>
          <w:szCs w:val="20"/>
        </w:rPr>
      </w:pPr>
    </w:p>
    <w:p w14:paraId="603343AC" w14:textId="77777777" w:rsidR="00CE1570" w:rsidRPr="00F97D27" w:rsidRDefault="00CE1570" w:rsidP="00F97D27">
      <w:pPr>
        <w:pStyle w:val="Sansinterligne"/>
        <w:jc w:val="both"/>
        <w:rPr>
          <w:rFonts w:ascii="IBM Plex Sans" w:eastAsia="Times New Roman" w:hAnsi="IBM Plex Sans"/>
          <w:sz w:val="20"/>
          <w:szCs w:val="20"/>
        </w:rPr>
      </w:pPr>
      <w:r w:rsidRPr="00F97D27">
        <w:rPr>
          <w:rFonts w:ascii="IBM Plex Sans" w:hAnsi="IBM Plex Sans"/>
          <w:noProof/>
          <w:sz w:val="20"/>
          <w:szCs w:val="20"/>
          <w:lang w:eastAsia="fr-FR"/>
        </w:rPr>
        <mc:AlternateContent>
          <mc:Choice Requires="wps">
            <w:drawing>
              <wp:anchor distT="0" distB="0" distL="114300" distR="114300" simplePos="0" relativeHeight="251664384" behindDoc="0" locked="0" layoutInCell="1" allowOverlap="1" wp14:anchorId="289CCD24" wp14:editId="2276B1A0">
                <wp:simplePos x="0" y="0"/>
                <wp:positionH relativeFrom="column">
                  <wp:posOffset>0</wp:posOffset>
                </wp:positionH>
                <wp:positionV relativeFrom="paragraph">
                  <wp:posOffset>149225</wp:posOffset>
                </wp:positionV>
                <wp:extent cx="2237105" cy="0"/>
                <wp:effectExtent l="0" t="0" r="0" b="0"/>
                <wp:wrapNone/>
                <wp:docPr id="7"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7105" cy="0"/>
                        </a:xfrm>
                        <a:prstGeom prst="line">
                          <a:avLst/>
                        </a:prstGeom>
                        <a:noFill/>
                        <a:ln w="9525">
                          <a:solidFill>
                            <a:srgbClr val="77AAA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0521F" id="Connecteur droit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75pt" to="176.1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" strokecolor="#77aaae"/>
            </w:pict>
          </mc:Fallback>
        </mc:AlternateContent>
      </w:r>
    </w:p>
    <w:p w14:paraId="29B80065" w14:textId="77777777" w:rsidR="00CE1570" w:rsidRPr="00F97D27" w:rsidRDefault="00CE1570" w:rsidP="00AE5C55">
      <w:pPr>
        <w:pStyle w:val="Sansinterligne"/>
        <w:rPr>
          <w:rFonts w:ascii="IBM Plex Sans" w:hAnsi="IBM Plex Sans"/>
          <w:b/>
          <w:color w:val="77AAAE"/>
          <w:sz w:val="20"/>
          <w:szCs w:val="20"/>
        </w:rPr>
      </w:pPr>
      <w:r w:rsidRPr="00F97D27">
        <w:rPr>
          <w:rFonts w:ascii="IBM Plex Sans" w:hAnsi="IBM Plex Sans"/>
          <w:b/>
          <w:color w:val="77AAAE"/>
          <w:sz w:val="20"/>
          <w:szCs w:val="20"/>
        </w:rPr>
        <w:t>Liste des intervenants</w:t>
      </w:r>
      <w:r w:rsidR="00917FB2" w:rsidRPr="00F97D27">
        <w:rPr>
          <w:rFonts w:ascii="IBM Plex Sans" w:hAnsi="IBM Plex Sans"/>
          <w:b/>
          <w:color w:val="77AAAE"/>
          <w:sz w:val="20"/>
          <w:szCs w:val="20"/>
        </w:rPr>
        <w:t xml:space="preserve"> </w:t>
      </w:r>
    </w:p>
    <w:p w14:paraId="12F3E42F" w14:textId="77777777" w:rsidR="00240033" w:rsidRPr="00F97D27" w:rsidRDefault="00240033" w:rsidP="00AE5C55">
      <w:pPr>
        <w:pStyle w:val="Sansinterligne"/>
        <w:rPr>
          <w:rFonts w:ascii="IBM Plex Sans" w:hAnsi="IBM Plex Sans"/>
          <w:b/>
          <w:bCs/>
          <w:sz w:val="20"/>
          <w:szCs w:val="20"/>
        </w:rPr>
      </w:pPr>
    </w:p>
    <w:p w14:paraId="7D021595" w14:textId="7171D3AD" w:rsidR="007C5BE2" w:rsidRPr="00D44999" w:rsidRDefault="007C5BE2" w:rsidP="00F72118">
      <w:pPr>
        <w:rPr>
          <w:rFonts w:ascii="IBM Plex Sans" w:hAnsi="IBM Plex Sans"/>
        </w:rPr>
      </w:pPr>
      <w:bookmarkStart w:id="0" w:name="_Hlk116306854"/>
      <w:bookmarkStart w:id="1" w:name="_Hlk81298671"/>
      <w:r w:rsidRPr="00F97D27">
        <w:rPr>
          <w:rFonts w:ascii="IBM Plex Sans" w:hAnsi="IBM Plex Sans"/>
          <w:b/>
          <w:bCs/>
          <w:sz w:val="20"/>
          <w:szCs w:val="20"/>
        </w:rPr>
        <w:t xml:space="preserve">Agorastore </w:t>
      </w:r>
      <w:r w:rsidRPr="00F97D27">
        <w:rPr>
          <w:rFonts w:ascii="IBM Plex Sans" w:hAnsi="IBM Plex Sans"/>
          <w:sz w:val="20"/>
          <w:szCs w:val="20"/>
        </w:rPr>
        <w:t>(O</w:t>
      </w:r>
      <w:r w:rsidR="0092554B">
        <w:rPr>
          <w:rFonts w:ascii="IBM Plex Sans" w:hAnsi="IBM Plex Sans"/>
          <w:sz w:val="20"/>
          <w:szCs w:val="20"/>
        </w:rPr>
        <w:t>livier</w:t>
      </w:r>
      <w:r w:rsidRPr="00F97D27">
        <w:rPr>
          <w:rFonts w:ascii="IBM Plex Sans" w:hAnsi="IBM Plex Sans"/>
          <w:sz w:val="20"/>
          <w:szCs w:val="20"/>
        </w:rPr>
        <w:t xml:space="preserve"> de La Chaise</w:t>
      </w:r>
      <w:r w:rsidR="00165D4A">
        <w:rPr>
          <w:rFonts w:ascii="IBM Plex Sans" w:hAnsi="IBM Plex Sans"/>
          <w:sz w:val="20"/>
          <w:szCs w:val="20"/>
        </w:rPr>
        <w:t>, A</w:t>
      </w:r>
      <w:r w:rsidR="006B6110">
        <w:rPr>
          <w:rFonts w:ascii="IBM Plex Sans" w:hAnsi="IBM Plex Sans"/>
          <w:sz w:val="20"/>
          <w:szCs w:val="20"/>
        </w:rPr>
        <w:t>lban Fruchart</w:t>
      </w:r>
      <w:r w:rsidRPr="00F97D27">
        <w:rPr>
          <w:rFonts w:ascii="IBM Plex Sans" w:hAnsi="IBM Plex Sans"/>
          <w:sz w:val="20"/>
          <w:szCs w:val="20"/>
        </w:rPr>
        <w:t xml:space="preserve">) - </w:t>
      </w:r>
      <w:r w:rsidRPr="00F97D27">
        <w:rPr>
          <w:rFonts w:ascii="IBM Plex Sans" w:hAnsi="IBM Plex Sans"/>
          <w:b/>
          <w:bCs/>
          <w:sz w:val="20"/>
          <w:szCs w:val="20"/>
        </w:rPr>
        <w:t xml:space="preserve">21 Invest </w:t>
      </w:r>
      <w:r w:rsidRPr="00F97D27">
        <w:rPr>
          <w:rFonts w:ascii="IBM Plex Sans" w:hAnsi="IBM Plex Sans"/>
          <w:sz w:val="20"/>
          <w:szCs w:val="20"/>
        </w:rPr>
        <w:t>(A</w:t>
      </w:r>
      <w:r w:rsidR="0092554B">
        <w:rPr>
          <w:rFonts w:ascii="IBM Plex Sans" w:hAnsi="IBM Plex Sans"/>
          <w:sz w:val="20"/>
          <w:szCs w:val="20"/>
        </w:rPr>
        <w:t>ntoine</w:t>
      </w:r>
      <w:r w:rsidRPr="00F97D27">
        <w:rPr>
          <w:rFonts w:ascii="IBM Plex Sans" w:hAnsi="IBM Plex Sans"/>
          <w:sz w:val="20"/>
          <w:szCs w:val="20"/>
        </w:rPr>
        <w:t xml:space="preserve"> Vigneron, M</w:t>
      </w:r>
      <w:r w:rsidR="0092554B">
        <w:rPr>
          <w:rFonts w:ascii="IBM Plex Sans" w:hAnsi="IBM Plex Sans"/>
          <w:sz w:val="20"/>
          <w:szCs w:val="20"/>
        </w:rPr>
        <w:t>artin</w:t>
      </w:r>
      <w:r w:rsidRPr="00F97D27">
        <w:rPr>
          <w:rFonts w:ascii="IBM Plex Sans" w:hAnsi="IBM Plex Sans"/>
          <w:sz w:val="20"/>
          <w:szCs w:val="20"/>
        </w:rPr>
        <w:t xml:space="preserve"> Bellé, P</w:t>
      </w:r>
      <w:r w:rsidR="0092554B">
        <w:rPr>
          <w:rFonts w:ascii="IBM Plex Sans" w:hAnsi="IBM Plex Sans"/>
          <w:sz w:val="20"/>
          <w:szCs w:val="20"/>
        </w:rPr>
        <w:t>hilippine</w:t>
      </w:r>
      <w:r w:rsidRPr="00F97D27">
        <w:rPr>
          <w:rFonts w:ascii="IBM Plex Sans" w:hAnsi="IBM Plex Sans"/>
          <w:sz w:val="20"/>
          <w:szCs w:val="20"/>
        </w:rPr>
        <w:t xml:space="preserve"> Zaro) </w:t>
      </w:r>
      <w:r w:rsidR="00E512F6">
        <w:rPr>
          <w:rFonts w:ascii="IBM Plex Sans" w:hAnsi="IBM Plex Sans"/>
          <w:sz w:val="20"/>
          <w:szCs w:val="20"/>
        </w:rPr>
        <w:t>–</w:t>
      </w:r>
      <w:r w:rsidRPr="00D44999">
        <w:rPr>
          <w:rFonts w:ascii="IBM Plex Sans" w:hAnsi="IBM Plex Sans"/>
          <w:sz w:val="20"/>
          <w:szCs w:val="20"/>
        </w:rPr>
        <w:t xml:space="preserve"> </w:t>
      </w:r>
      <w:r w:rsidR="00E512F6">
        <w:rPr>
          <w:rFonts w:ascii="IBM Plex Sans" w:hAnsi="IBM Plex Sans"/>
          <w:b/>
          <w:bCs/>
          <w:sz w:val="20"/>
          <w:szCs w:val="20"/>
        </w:rPr>
        <w:t>Via Mobilis</w:t>
      </w:r>
      <w:r w:rsidRPr="00D44999">
        <w:rPr>
          <w:rFonts w:ascii="IBM Plex Sans" w:hAnsi="IBM Plex Sans"/>
          <w:sz w:val="20"/>
          <w:szCs w:val="20"/>
        </w:rPr>
        <w:t xml:space="preserve"> </w:t>
      </w:r>
      <w:r w:rsidR="00F97D27" w:rsidRPr="00D44999">
        <w:rPr>
          <w:rFonts w:ascii="IBM Plex Sans" w:hAnsi="IBM Plex Sans"/>
          <w:sz w:val="20"/>
          <w:szCs w:val="20"/>
        </w:rPr>
        <w:t>(</w:t>
      </w:r>
      <w:r w:rsidR="00E512F6">
        <w:rPr>
          <w:rFonts w:ascii="IBM Plex Sans" w:hAnsi="IBM Plex Sans"/>
          <w:sz w:val="20"/>
          <w:szCs w:val="20"/>
        </w:rPr>
        <w:t>Charles Collot</w:t>
      </w:r>
      <w:r w:rsidRPr="00D44999">
        <w:rPr>
          <w:rFonts w:ascii="IBM Plex Sans" w:hAnsi="IBM Plex Sans"/>
          <w:sz w:val="20"/>
          <w:szCs w:val="20"/>
        </w:rPr>
        <w:t>)</w:t>
      </w:r>
    </w:p>
    <w:p w14:paraId="111A492A" w14:textId="77777777" w:rsidR="007C5BE2" w:rsidRPr="00D44999" w:rsidRDefault="007C5BE2" w:rsidP="00F72118">
      <w:pPr>
        <w:pStyle w:val="Sansinterligne"/>
        <w:rPr>
          <w:rFonts w:ascii="IBM Plex Sans" w:hAnsi="IBM Plex Sans"/>
          <w:sz w:val="20"/>
          <w:szCs w:val="20"/>
          <w:u w:val="single"/>
        </w:rPr>
      </w:pPr>
      <w:r w:rsidRPr="00D44999">
        <w:rPr>
          <w:rFonts w:ascii="IBM Plex Sans" w:hAnsi="IBM Plex Sans"/>
          <w:sz w:val="20"/>
          <w:szCs w:val="20"/>
          <w:u w:val="single"/>
        </w:rPr>
        <w:t>Conseils Agorastore</w:t>
      </w:r>
    </w:p>
    <w:p w14:paraId="38757C04" w14:textId="45B1C774" w:rsidR="007C5BE2" w:rsidRPr="00D44999" w:rsidRDefault="00E00F7A" w:rsidP="00F72118">
      <w:pPr>
        <w:pStyle w:val="Sansinterligne"/>
        <w:rPr>
          <w:rFonts w:ascii="IBM Plex Sans" w:hAnsi="IBM Plex Sans"/>
          <w:sz w:val="20"/>
          <w:szCs w:val="20"/>
        </w:rPr>
      </w:pPr>
      <w:r>
        <w:rPr>
          <w:rFonts w:ascii="IBM Plex Sans" w:hAnsi="IBM Plex Sans"/>
          <w:sz w:val="20"/>
          <w:szCs w:val="20"/>
        </w:rPr>
        <w:t xml:space="preserve">M&amp;A : </w:t>
      </w:r>
      <w:r w:rsidRPr="00E00F7A">
        <w:rPr>
          <w:rFonts w:ascii="IBM Plex Sans" w:hAnsi="IBM Plex Sans"/>
          <w:b/>
          <w:bCs/>
          <w:sz w:val="20"/>
          <w:szCs w:val="20"/>
        </w:rPr>
        <w:t>Oaklins</w:t>
      </w:r>
      <w:r>
        <w:rPr>
          <w:rFonts w:ascii="IBM Plex Sans" w:hAnsi="IBM Plex Sans"/>
          <w:sz w:val="20"/>
          <w:szCs w:val="20"/>
        </w:rPr>
        <w:t xml:space="preserve"> (Eric Félix-Faure) – </w:t>
      </w:r>
      <w:r w:rsidR="007C5BE2" w:rsidRPr="00D44999">
        <w:rPr>
          <w:rFonts w:ascii="IBM Plex Sans" w:hAnsi="IBM Plex Sans"/>
          <w:sz w:val="20"/>
          <w:szCs w:val="20"/>
        </w:rPr>
        <w:t xml:space="preserve">DD financière : </w:t>
      </w:r>
      <w:r w:rsidR="007C5BE2" w:rsidRPr="00D44999">
        <w:rPr>
          <w:rFonts w:ascii="IBM Plex Sans" w:hAnsi="IBM Plex Sans"/>
          <w:b/>
          <w:bCs/>
          <w:sz w:val="20"/>
          <w:szCs w:val="20"/>
        </w:rPr>
        <w:t>Oderis</w:t>
      </w:r>
      <w:r w:rsidR="007C5BE2" w:rsidRPr="00D44999">
        <w:rPr>
          <w:rFonts w:ascii="IBM Plex Sans" w:hAnsi="IBM Plex Sans"/>
          <w:sz w:val="20"/>
          <w:szCs w:val="20"/>
        </w:rPr>
        <w:t xml:space="preserve"> (Q</w:t>
      </w:r>
      <w:r w:rsidR="00D44999">
        <w:rPr>
          <w:rFonts w:ascii="IBM Plex Sans" w:hAnsi="IBM Plex Sans"/>
          <w:sz w:val="20"/>
          <w:szCs w:val="20"/>
        </w:rPr>
        <w:t>uentin</w:t>
      </w:r>
      <w:r w:rsidR="007C5BE2" w:rsidRPr="00D44999">
        <w:rPr>
          <w:rFonts w:ascii="IBM Plex Sans" w:hAnsi="IBM Plex Sans"/>
          <w:sz w:val="20"/>
          <w:szCs w:val="20"/>
        </w:rPr>
        <w:t xml:space="preserve"> Gautier) </w:t>
      </w:r>
      <w:r>
        <w:rPr>
          <w:rFonts w:ascii="IBM Plex Sans" w:hAnsi="IBM Plex Sans"/>
          <w:sz w:val="20"/>
          <w:szCs w:val="20"/>
        </w:rPr>
        <w:t>–</w:t>
      </w:r>
      <w:r w:rsidR="007C5BE2" w:rsidRPr="00D44999">
        <w:rPr>
          <w:rFonts w:ascii="IBM Plex Sans" w:hAnsi="IBM Plex Sans"/>
          <w:sz w:val="20"/>
          <w:szCs w:val="20"/>
        </w:rPr>
        <w:t xml:space="preserve"> Conseil juridique et fiscal : </w:t>
      </w:r>
      <w:r w:rsidR="00E512F6">
        <w:rPr>
          <w:rFonts w:ascii="IBM Plex Sans" w:hAnsi="IBM Plex Sans"/>
          <w:b/>
          <w:bCs/>
          <w:sz w:val="20"/>
          <w:szCs w:val="20"/>
        </w:rPr>
        <w:t>Moncey Avocats</w:t>
      </w:r>
      <w:r w:rsidR="007C5BE2" w:rsidRPr="00D44999">
        <w:rPr>
          <w:rFonts w:ascii="IBM Plex Sans" w:hAnsi="IBM Plex Sans"/>
          <w:b/>
          <w:bCs/>
          <w:sz w:val="20"/>
          <w:szCs w:val="20"/>
        </w:rPr>
        <w:t xml:space="preserve"> </w:t>
      </w:r>
      <w:r w:rsidR="007C5BE2" w:rsidRPr="00D44999">
        <w:rPr>
          <w:rFonts w:ascii="IBM Plex Sans" w:hAnsi="IBM Plex Sans"/>
          <w:sz w:val="20"/>
          <w:szCs w:val="20"/>
        </w:rPr>
        <w:t>(</w:t>
      </w:r>
      <w:r w:rsidR="00B74329">
        <w:rPr>
          <w:rFonts w:ascii="IBM Plex Sans" w:hAnsi="IBM Plex Sans"/>
          <w:sz w:val="20"/>
          <w:szCs w:val="20"/>
        </w:rPr>
        <w:t>Guillaume Giuliani, Marie-Victoire James, Alexandre Bankowski, Alix Auclair, Frédéric Bosc)</w:t>
      </w:r>
      <w:r w:rsidR="00E512F6">
        <w:rPr>
          <w:rFonts w:ascii="IBM Plex Sans" w:hAnsi="IBM Plex Sans"/>
          <w:sz w:val="20"/>
          <w:szCs w:val="20"/>
        </w:rPr>
        <w:t xml:space="preserve"> – Conseil Stratégique : </w:t>
      </w:r>
      <w:r w:rsidR="00E512F6" w:rsidRPr="00E512F6">
        <w:rPr>
          <w:rFonts w:ascii="IBM Plex Sans" w:hAnsi="IBM Plex Sans"/>
          <w:b/>
          <w:bCs/>
          <w:sz w:val="20"/>
          <w:szCs w:val="20"/>
        </w:rPr>
        <w:t>Eleven</w:t>
      </w:r>
      <w:r w:rsidR="00E512F6">
        <w:rPr>
          <w:rFonts w:ascii="IBM Plex Sans" w:hAnsi="IBM Plex Sans"/>
          <w:sz w:val="20"/>
          <w:szCs w:val="20"/>
        </w:rPr>
        <w:t xml:space="preserve"> (Maxime Caro, Agathe Siebert)</w:t>
      </w:r>
    </w:p>
    <w:p w14:paraId="0E23824B" w14:textId="77777777" w:rsidR="007C5BE2" w:rsidRPr="00F72118" w:rsidRDefault="007C5BE2" w:rsidP="00F72118">
      <w:pPr>
        <w:pStyle w:val="Sansinterligne"/>
        <w:rPr>
          <w:rFonts w:ascii="IBM Plex Sans" w:hAnsi="IBM Plex Sans"/>
          <w:sz w:val="20"/>
          <w:szCs w:val="20"/>
        </w:rPr>
      </w:pPr>
    </w:p>
    <w:p w14:paraId="034A2CC0" w14:textId="336E3BDF" w:rsidR="007C5BE2" w:rsidRPr="00D44999" w:rsidRDefault="007C5BE2" w:rsidP="00F72118">
      <w:pPr>
        <w:pStyle w:val="Sansinterligne"/>
        <w:rPr>
          <w:rFonts w:ascii="IBM Plex Sans" w:hAnsi="IBM Plex Sans"/>
          <w:sz w:val="20"/>
          <w:szCs w:val="20"/>
          <w:u w:val="single"/>
        </w:rPr>
      </w:pPr>
      <w:r w:rsidRPr="00D44999">
        <w:rPr>
          <w:rFonts w:ascii="IBM Plex Sans" w:hAnsi="IBM Plex Sans"/>
          <w:sz w:val="20"/>
          <w:szCs w:val="20"/>
          <w:u w:val="single"/>
        </w:rPr>
        <w:t xml:space="preserve">Conseils </w:t>
      </w:r>
      <w:r w:rsidR="00E512F6">
        <w:rPr>
          <w:rFonts w:ascii="IBM Plex Sans" w:hAnsi="IBM Plex Sans"/>
          <w:sz w:val="20"/>
          <w:szCs w:val="20"/>
          <w:u w:val="single"/>
        </w:rPr>
        <w:t>Via Mobilis</w:t>
      </w:r>
    </w:p>
    <w:p w14:paraId="4FA36963" w14:textId="17A1DEB5" w:rsidR="007C5BE2" w:rsidRPr="00F72118" w:rsidRDefault="00E512F6" w:rsidP="00F72118">
      <w:pPr>
        <w:pStyle w:val="Sansinterligne"/>
        <w:rPr>
          <w:rFonts w:ascii="IBM Plex Sans" w:hAnsi="IBM Plex Sans"/>
          <w:sz w:val="20"/>
          <w:szCs w:val="20"/>
        </w:rPr>
      </w:pPr>
      <w:r>
        <w:rPr>
          <w:rFonts w:ascii="IBM Plex Sans" w:hAnsi="IBM Plex Sans"/>
          <w:sz w:val="20"/>
          <w:szCs w:val="20"/>
        </w:rPr>
        <w:t xml:space="preserve">Conseil Financier :  </w:t>
      </w:r>
      <w:r w:rsidRPr="00E00F7A">
        <w:rPr>
          <w:rFonts w:ascii="IBM Plex Sans" w:hAnsi="IBM Plex Sans"/>
          <w:b/>
          <w:bCs/>
          <w:sz w:val="20"/>
          <w:szCs w:val="20"/>
        </w:rPr>
        <w:t>Cyrnos Partners</w:t>
      </w:r>
      <w:r>
        <w:rPr>
          <w:rFonts w:ascii="IBM Plex Sans" w:hAnsi="IBM Plex Sans"/>
          <w:sz w:val="20"/>
          <w:szCs w:val="20"/>
        </w:rPr>
        <w:t xml:space="preserve"> (</w:t>
      </w:r>
      <w:r w:rsidRPr="00E512F6">
        <w:rPr>
          <w:rFonts w:ascii="IBM Plex Sans" w:hAnsi="IBM Plex Sans"/>
          <w:sz w:val="20"/>
          <w:szCs w:val="20"/>
        </w:rPr>
        <w:t>Olivier Mattéoli</w:t>
      </w:r>
      <w:r>
        <w:rPr>
          <w:rFonts w:ascii="IBM Plex Sans" w:hAnsi="IBM Plex Sans"/>
          <w:sz w:val="20"/>
          <w:szCs w:val="20"/>
        </w:rPr>
        <w:t>)</w:t>
      </w:r>
    </w:p>
    <w:p w14:paraId="4B0ED82D" w14:textId="77777777" w:rsidR="007C5BE2" w:rsidRPr="00F72118" w:rsidRDefault="007C5BE2" w:rsidP="00F72118">
      <w:pPr>
        <w:pStyle w:val="Sansinterligne"/>
        <w:rPr>
          <w:rFonts w:ascii="IBM Plex Sans" w:hAnsi="IBM Plex Sans"/>
          <w:sz w:val="20"/>
          <w:szCs w:val="20"/>
          <w:u w:val="single"/>
        </w:rPr>
      </w:pPr>
    </w:p>
    <w:p w14:paraId="138825B2" w14:textId="77777777" w:rsidR="007C5BE2" w:rsidRPr="00D44999" w:rsidRDefault="007C5BE2" w:rsidP="00AE5C55">
      <w:pPr>
        <w:pStyle w:val="Sansinterligne"/>
        <w:rPr>
          <w:rFonts w:ascii="IBM Plex Sans" w:hAnsi="IBM Plex Sans"/>
          <w:sz w:val="20"/>
          <w:szCs w:val="20"/>
          <w:u w:val="single"/>
        </w:rPr>
      </w:pPr>
      <w:r w:rsidRPr="00D44999">
        <w:rPr>
          <w:rFonts w:ascii="IBM Plex Sans" w:hAnsi="IBM Plex Sans"/>
          <w:sz w:val="20"/>
          <w:szCs w:val="20"/>
          <w:u w:val="single"/>
        </w:rPr>
        <w:t xml:space="preserve">Financement </w:t>
      </w:r>
    </w:p>
    <w:p w14:paraId="691ACDFE" w14:textId="4A02396E" w:rsidR="007C5BE2" w:rsidRPr="00D44999" w:rsidRDefault="007C5BE2" w:rsidP="00AE5C55">
      <w:pPr>
        <w:rPr>
          <w:rFonts w:ascii="IBM Plex Sans" w:hAnsi="IBM Plex Sans"/>
          <w:sz w:val="20"/>
          <w:szCs w:val="20"/>
        </w:rPr>
      </w:pPr>
      <w:r w:rsidRPr="00D44999">
        <w:rPr>
          <w:rFonts w:ascii="IBM Plex Sans" w:hAnsi="IBM Plex Sans"/>
          <w:b/>
          <w:bCs/>
          <w:sz w:val="20"/>
          <w:szCs w:val="20"/>
        </w:rPr>
        <w:t>Zencap</w:t>
      </w:r>
      <w:r w:rsidRPr="00D44999">
        <w:rPr>
          <w:rFonts w:ascii="IBM Plex Sans" w:hAnsi="IBM Plex Sans"/>
          <w:sz w:val="20"/>
          <w:szCs w:val="20"/>
        </w:rPr>
        <w:t xml:space="preserve"> (H</w:t>
      </w:r>
      <w:r w:rsidR="00D44999">
        <w:rPr>
          <w:rFonts w:ascii="IBM Plex Sans" w:hAnsi="IBM Plex Sans"/>
          <w:sz w:val="20"/>
          <w:szCs w:val="20"/>
        </w:rPr>
        <w:t>ervé</w:t>
      </w:r>
      <w:r w:rsidRPr="00D44999">
        <w:rPr>
          <w:rFonts w:ascii="IBM Plex Sans" w:hAnsi="IBM Plex Sans"/>
          <w:sz w:val="20"/>
          <w:szCs w:val="20"/>
        </w:rPr>
        <w:t xml:space="preserve"> Goigoux-Becker, P</w:t>
      </w:r>
      <w:r w:rsidR="00D44999">
        <w:rPr>
          <w:rFonts w:ascii="IBM Plex Sans" w:hAnsi="IBM Plex Sans"/>
          <w:sz w:val="20"/>
          <w:szCs w:val="20"/>
        </w:rPr>
        <w:t xml:space="preserve">ierre </w:t>
      </w:r>
      <w:r w:rsidRPr="00D44999">
        <w:rPr>
          <w:rFonts w:ascii="IBM Plex Sans" w:hAnsi="IBM Plex Sans"/>
          <w:sz w:val="20"/>
          <w:szCs w:val="20"/>
        </w:rPr>
        <w:t>Sockeel)</w:t>
      </w:r>
    </w:p>
    <w:p w14:paraId="445D692F" w14:textId="19250B0A" w:rsidR="007C5BE2" w:rsidRPr="00D44999" w:rsidRDefault="007C5BE2" w:rsidP="00AE5C55">
      <w:pPr>
        <w:rPr>
          <w:rFonts w:ascii="IBM Plex Sans" w:hAnsi="IBM Plex Sans"/>
          <w:sz w:val="20"/>
          <w:szCs w:val="20"/>
        </w:rPr>
      </w:pPr>
      <w:r w:rsidRPr="00D44999">
        <w:rPr>
          <w:rFonts w:ascii="IBM Plex Sans" w:hAnsi="IBM Plex Sans"/>
          <w:sz w:val="20"/>
          <w:szCs w:val="20"/>
        </w:rPr>
        <w:t xml:space="preserve">Conseil juridique prêteurs </w:t>
      </w:r>
      <w:r w:rsidRPr="00D44999">
        <w:rPr>
          <w:rFonts w:ascii="IBM Plex Sans" w:hAnsi="IBM Plex Sans"/>
          <w:b/>
          <w:bCs/>
          <w:sz w:val="20"/>
          <w:szCs w:val="20"/>
        </w:rPr>
        <w:t>Nabarro Béraud</w:t>
      </w:r>
      <w:r w:rsidRPr="00D44999">
        <w:rPr>
          <w:rFonts w:ascii="IBM Plex Sans" w:hAnsi="IBM Plex Sans"/>
          <w:sz w:val="20"/>
          <w:szCs w:val="20"/>
        </w:rPr>
        <w:t xml:space="preserve"> (M</w:t>
      </w:r>
      <w:r w:rsidR="00D44999">
        <w:rPr>
          <w:rFonts w:ascii="IBM Plex Sans" w:hAnsi="IBM Plex Sans"/>
          <w:sz w:val="20"/>
          <w:szCs w:val="20"/>
        </w:rPr>
        <w:t xml:space="preserve">agali </w:t>
      </w:r>
      <w:r w:rsidRPr="00D44999">
        <w:rPr>
          <w:rFonts w:ascii="IBM Plex Sans" w:hAnsi="IBM Plex Sans"/>
          <w:sz w:val="20"/>
          <w:szCs w:val="20"/>
        </w:rPr>
        <w:t>Béraud, M</w:t>
      </w:r>
      <w:r w:rsidR="00D44999">
        <w:rPr>
          <w:rFonts w:ascii="IBM Plex Sans" w:hAnsi="IBM Plex Sans"/>
          <w:sz w:val="20"/>
          <w:szCs w:val="20"/>
        </w:rPr>
        <w:t>arie</w:t>
      </w:r>
      <w:r w:rsidRPr="00D44999">
        <w:rPr>
          <w:rFonts w:ascii="IBM Plex Sans" w:hAnsi="IBM Plex Sans"/>
          <w:sz w:val="20"/>
          <w:szCs w:val="20"/>
        </w:rPr>
        <w:t xml:space="preserve"> Santunione)</w:t>
      </w:r>
    </w:p>
    <w:bookmarkEnd w:id="0"/>
    <w:bookmarkEnd w:id="1"/>
    <w:p w14:paraId="1091822C" w14:textId="77777777" w:rsidR="002E3919" w:rsidRPr="00F97D27" w:rsidRDefault="002E3919" w:rsidP="00AE5C55">
      <w:pPr>
        <w:pStyle w:val="Sansinterligne"/>
        <w:rPr>
          <w:rFonts w:ascii="IBM Plex Sans" w:hAnsi="IBM Plex Sans"/>
          <w:sz w:val="20"/>
          <w:szCs w:val="20"/>
        </w:rPr>
      </w:pPr>
      <w:r w:rsidRPr="00F97D27">
        <w:rPr>
          <w:rFonts w:ascii="IBM Plex Sans" w:hAnsi="IBM Plex Sans"/>
          <w:noProof/>
          <w:sz w:val="20"/>
          <w:szCs w:val="20"/>
          <w:lang w:eastAsia="fr-FR"/>
        </w:rPr>
        <mc:AlternateContent>
          <mc:Choice Requires="wps">
            <w:drawing>
              <wp:anchor distT="0" distB="0" distL="114300" distR="114300" simplePos="0" relativeHeight="251662336" behindDoc="0" locked="0" layoutInCell="1" allowOverlap="1" wp14:anchorId="3E890EE8" wp14:editId="2B0DB492">
                <wp:simplePos x="0" y="0"/>
                <wp:positionH relativeFrom="margin">
                  <wp:align>left</wp:align>
                </wp:positionH>
                <wp:positionV relativeFrom="paragraph">
                  <wp:posOffset>120015</wp:posOffset>
                </wp:positionV>
                <wp:extent cx="2237105" cy="0"/>
                <wp:effectExtent l="0" t="0" r="0" b="0"/>
                <wp:wrapNone/>
                <wp:docPr id="8"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7105" cy="0"/>
                        </a:xfrm>
                        <a:prstGeom prst="line">
                          <a:avLst/>
                        </a:prstGeom>
                        <a:noFill/>
                        <a:ln w="9525">
                          <a:solidFill>
                            <a:srgbClr val="77AAA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F80F1" id="Connecteur droit 6"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9.45pt" to="176.1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" strokecolor="#77aaae">
                <w10:wrap anchorx="margin"/>
              </v:line>
            </w:pict>
          </mc:Fallback>
        </mc:AlternateContent>
      </w:r>
    </w:p>
    <w:p w14:paraId="393B86CF" w14:textId="77777777" w:rsidR="00141AEC" w:rsidRPr="00F97D27" w:rsidRDefault="00141AEC" w:rsidP="00AE5C55">
      <w:pPr>
        <w:spacing w:after="0" w:line="240" w:lineRule="auto"/>
        <w:rPr>
          <w:rFonts w:ascii="IBM Plex Sans" w:hAnsi="IBM Plex Sans"/>
          <w:b/>
          <w:color w:val="77AAAE"/>
          <w:sz w:val="20"/>
          <w:szCs w:val="20"/>
        </w:rPr>
      </w:pPr>
      <w:r w:rsidRPr="00F97D27">
        <w:rPr>
          <w:rFonts w:ascii="IBM Plex Sans" w:hAnsi="IBM Plex Sans"/>
          <w:b/>
          <w:color w:val="77AAAE"/>
          <w:sz w:val="20"/>
          <w:szCs w:val="20"/>
        </w:rPr>
        <w:t>À propos d</w:t>
      </w:r>
      <w:r w:rsidR="00236F29" w:rsidRPr="00F97D27">
        <w:rPr>
          <w:rFonts w:ascii="IBM Plex Sans" w:hAnsi="IBM Plex Sans"/>
          <w:b/>
          <w:color w:val="77AAAE"/>
          <w:sz w:val="20"/>
          <w:szCs w:val="20"/>
        </w:rPr>
        <w:t>’Agorastore</w:t>
      </w:r>
    </w:p>
    <w:p w14:paraId="05A41AAB" w14:textId="5195CF4B" w:rsidR="006A2BC0" w:rsidRDefault="00AE5C55" w:rsidP="00AE5C55">
      <w:pPr>
        <w:pStyle w:val="Sansinterligne"/>
        <w:rPr>
          <w:rFonts w:ascii="IBM Plex Sans" w:hAnsi="IBM Plex Sans" w:cs="Segoe UI"/>
          <w:sz w:val="20"/>
          <w:szCs w:val="20"/>
          <w:shd w:val="clear" w:color="auto" w:fill="FFFFFF"/>
        </w:rPr>
      </w:pPr>
      <w:r w:rsidRPr="00AE5C55">
        <w:rPr>
          <w:rFonts w:ascii="IBM Plex Sans" w:hAnsi="IBM Plex Sans" w:cs="Segoe UI"/>
          <w:sz w:val="20"/>
          <w:szCs w:val="20"/>
          <w:shd w:val="clear" w:color="auto" w:fill="FFFFFF"/>
        </w:rPr>
        <w:t xml:space="preserve">Plateforme digitale de ventes aux enchères pour les collectivités publiques et les entreprises, Agorastore propose des solutions pour valoriser et donner une seconde vie à leurs biens d’équipement et à leurs actifs immobiliers. Avec plus de 2 500 clients vendeurs </w:t>
      </w:r>
      <w:r w:rsidR="00A25FDF">
        <w:rPr>
          <w:rFonts w:ascii="IBM Plex Sans" w:hAnsi="IBM Plex Sans" w:cs="Segoe UI"/>
          <w:sz w:val="20"/>
          <w:szCs w:val="20"/>
          <w:shd w:val="clear" w:color="auto" w:fill="FFFFFF"/>
        </w:rPr>
        <w:t xml:space="preserve">publics et privés </w:t>
      </w:r>
      <w:r w:rsidRPr="00AE5C55">
        <w:rPr>
          <w:rFonts w:ascii="IBM Plex Sans" w:hAnsi="IBM Plex Sans" w:cs="Segoe UI"/>
          <w:sz w:val="20"/>
          <w:szCs w:val="20"/>
          <w:shd w:val="clear" w:color="auto" w:fill="FFFFFF"/>
        </w:rPr>
        <w:t>et près de 250 000 acheteurs inscrits, Agorastore est un acteur socialement engagé qui contribue activement au développement du réemploi et de l’économie circulaire, à la transparence et sécurité des procédures, à l’efficacité économique et financière</w:t>
      </w:r>
      <w:r w:rsidRPr="00683449">
        <w:rPr>
          <w:rFonts w:ascii="IBM Plex Sans" w:hAnsi="IBM Plex Sans" w:cs="Segoe UI"/>
          <w:sz w:val="20"/>
          <w:szCs w:val="20"/>
          <w:shd w:val="clear" w:color="auto" w:fill="FFFFFF"/>
        </w:rPr>
        <w:t>. En 2023, Agorastore a réalisé plus de 120 millions de volume de ventes pour 20 000 produits vendus.</w:t>
      </w:r>
    </w:p>
    <w:p w14:paraId="5AFD9C8E" w14:textId="77777777" w:rsidR="00AE5C55" w:rsidRDefault="00AE5C55" w:rsidP="00AE5C55">
      <w:pPr>
        <w:pStyle w:val="Sansinterligne"/>
        <w:rPr>
          <w:rFonts w:ascii="IBM Plex Sans" w:hAnsi="IBM Plex Sans"/>
          <w:sz w:val="20"/>
          <w:szCs w:val="20"/>
        </w:rPr>
      </w:pPr>
    </w:p>
    <w:p w14:paraId="3BAF8F36" w14:textId="7AF78B33" w:rsidR="00236F29" w:rsidRPr="00F97D27" w:rsidRDefault="008F5DE2" w:rsidP="00AE5C55">
      <w:pPr>
        <w:pStyle w:val="Sansinterligne"/>
        <w:rPr>
          <w:rFonts w:ascii="IBM Plex Sans" w:hAnsi="IBM Plex Sans"/>
          <w:sz w:val="20"/>
          <w:szCs w:val="20"/>
        </w:rPr>
      </w:pPr>
      <w:r w:rsidRPr="00955D96">
        <w:rPr>
          <w:rFonts w:ascii="IBM Plex Sans" w:hAnsi="IBM Plex Sans"/>
          <w:sz w:val="20"/>
          <w:szCs w:val="20"/>
        </w:rPr>
        <w:t>Pour</w:t>
      </w:r>
      <w:r w:rsidR="00236F29" w:rsidRPr="00955D96">
        <w:rPr>
          <w:rFonts w:ascii="IBM Plex Sans" w:hAnsi="IBM Plex Sans"/>
          <w:sz w:val="20"/>
          <w:szCs w:val="20"/>
        </w:rPr>
        <w:t xml:space="preserve"> plus d'informations, </w:t>
      </w:r>
      <w:r w:rsidR="002B3C9B" w:rsidRPr="00955D96">
        <w:rPr>
          <w:rFonts w:ascii="IBM Plex Sans" w:hAnsi="IBM Plex Sans"/>
          <w:sz w:val="20"/>
          <w:szCs w:val="20"/>
        </w:rPr>
        <w:t>rendez-</w:t>
      </w:r>
      <w:r w:rsidR="002B3C9B" w:rsidRPr="00F97D27">
        <w:rPr>
          <w:rFonts w:ascii="IBM Plex Sans" w:hAnsi="IBM Plex Sans"/>
          <w:sz w:val="20"/>
          <w:szCs w:val="20"/>
        </w:rPr>
        <w:t xml:space="preserve">vous sur </w:t>
      </w:r>
      <w:hyperlink r:id="rId10" w:history="1">
        <w:r w:rsidR="002B3C9B" w:rsidRPr="00F97D27">
          <w:rPr>
            <w:rStyle w:val="Lienhypertexte"/>
            <w:rFonts w:ascii="IBM Plex Sans" w:hAnsi="IBM Plex Sans"/>
            <w:sz w:val="20"/>
            <w:szCs w:val="20"/>
          </w:rPr>
          <w:t>www.agorastore.fr</w:t>
        </w:r>
      </w:hyperlink>
    </w:p>
    <w:p w14:paraId="790A914E" w14:textId="7B3E5E50" w:rsidR="001D28CD" w:rsidRPr="00410E1B" w:rsidRDefault="00B74329" w:rsidP="00AE5C55">
      <w:pPr>
        <w:pStyle w:val="Sansinterligne"/>
        <w:spacing w:before="60"/>
        <w:rPr>
          <w:rFonts w:ascii="IBM Plex Sans" w:hAnsi="IBM Plex Sans"/>
          <w:b/>
          <w:sz w:val="20"/>
          <w:szCs w:val="20"/>
          <w:lang w:val="en-US"/>
        </w:rPr>
      </w:pPr>
      <w:r w:rsidRPr="00410E1B">
        <w:rPr>
          <w:rStyle w:val="Lienhypertexte"/>
          <w:rFonts w:ascii="IBM Plex Sans" w:hAnsi="IBM Plex Sans"/>
          <w:b/>
          <w:color w:val="auto"/>
          <w:sz w:val="20"/>
          <w:szCs w:val="20"/>
          <w:u w:val="none"/>
          <w:lang w:val="en-US"/>
        </w:rPr>
        <w:t>Contact:</w:t>
      </w:r>
      <w:r w:rsidR="001D28CD" w:rsidRPr="00410E1B">
        <w:rPr>
          <w:rStyle w:val="Lienhypertexte"/>
          <w:rFonts w:ascii="IBM Plex Sans" w:hAnsi="IBM Plex Sans"/>
          <w:b/>
          <w:color w:val="auto"/>
          <w:sz w:val="20"/>
          <w:szCs w:val="20"/>
          <w:u w:val="none"/>
          <w:lang w:val="en-US"/>
        </w:rPr>
        <w:t xml:space="preserve"> </w:t>
      </w:r>
      <w:r w:rsidR="00BA195E" w:rsidRPr="00410E1B">
        <w:rPr>
          <w:rStyle w:val="Lienhypertexte"/>
          <w:rFonts w:ascii="IBM Plex Sans" w:hAnsi="IBM Plex Sans"/>
          <w:b/>
          <w:color w:val="auto"/>
          <w:sz w:val="20"/>
          <w:szCs w:val="20"/>
          <w:u w:val="none"/>
          <w:lang w:val="en-US"/>
        </w:rPr>
        <w:t>Charline</w:t>
      </w:r>
      <w:r w:rsidR="007413B1" w:rsidRPr="00410E1B">
        <w:rPr>
          <w:rStyle w:val="Lienhypertexte"/>
          <w:rFonts w:ascii="IBM Plex Sans" w:hAnsi="IBM Plex Sans"/>
          <w:b/>
          <w:color w:val="auto"/>
          <w:sz w:val="20"/>
          <w:szCs w:val="20"/>
          <w:u w:val="none"/>
          <w:lang w:val="en-US"/>
        </w:rPr>
        <w:t xml:space="preserve"> Noblet, noblet-ext@agorastore.fr</w:t>
      </w:r>
    </w:p>
    <w:p w14:paraId="5915E68E" w14:textId="1B2056D1" w:rsidR="00236F29" w:rsidRPr="00F72118" w:rsidRDefault="00236F29" w:rsidP="00AE5C55">
      <w:pPr>
        <w:pStyle w:val="Sansinterligne"/>
        <w:rPr>
          <w:rFonts w:ascii="IBM Plex Sans" w:hAnsi="IBM Plex Sans"/>
          <w:sz w:val="20"/>
          <w:szCs w:val="20"/>
          <w:lang w:val="en-US"/>
        </w:rPr>
      </w:pPr>
    </w:p>
    <w:p w14:paraId="383AAA8E" w14:textId="77777777" w:rsidR="00236F29" w:rsidRPr="00F97D27" w:rsidRDefault="00236F29" w:rsidP="00AE5C55">
      <w:pPr>
        <w:pStyle w:val="Sansinterligne"/>
        <w:rPr>
          <w:rFonts w:ascii="IBM Plex Sans" w:hAnsi="IBM Plex Sans"/>
          <w:b/>
          <w:color w:val="77AAAE"/>
          <w:sz w:val="20"/>
          <w:szCs w:val="20"/>
        </w:rPr>
      </w:pPr>
      <w:r w:rsidRPr="00F97D27">
        <w:rPr>
          <w:rFonts w:ascii="IBM Plex Sans" w:hAnsi="IBM Plex Sans"/>
          <w:b/>
          <w:color w:val="77AAAE"/>
          <w:sz w:val="20"/>
          <w:szCs w:val="20"/>
        </w:rPr>
        <w:t>À propos de 21 Invest</w:t>
      </w:r>
    </w:p>
    <w:p w14:paraId="18764882" w14:textId="393DFD0C" w:rsidR="00B74329" w:rsidRDefault="00AE5C55" w:rsidP="00AE5C55">
      <w:pPr>
        <w:spacing w:after="0" w:line="240" w:lineRule="auto"/>
        <w:rPr>
          <w:rFonts w:ascii="IBM Plex Sans" w:hAnsi="IBM Plex Sans"/>
          <w:sz w:val="20"/>
          <w:szCs w:val="20"/>
        </w:rPr>
      </w:pPr>
      <w:r w:rsidRPr="00AE5C55">
        <w:rPr>
          <w:rFonts w:ascii="IBM Plex Sans" w:hAnsi="IBM Plex Sans"/>
          <w:sz w:val="20"/>
          <w:szCs w:val="20"/>
        </w:rPr>
        <w:t xml:space="preserve">Actionnaire actif et responsable aux côtés des dirigeants depuis 32 ans, le groupe 21 Invest fondé par Alessandro Benetton a accompagné plus de 110 entreprises basées en France, en Italie et en Pologne au travers de fonds locaux. En France, la stratégie d’investissement se concentre sur les entreprises combinant croissance et récurrence qui interviennent dans 4 secteurs que sont la santé, </w:t>
      </w:r>
      <w:r w:rsidRPr="00AE5C55">
        <w:rPr>
          <w:rFonts w:ascii="IBM Plex Sans" w:hAnsi="IBM Plex Sans"/>
          <w:sz w:val="20"/>
          <w:szCs w:val="20"/>
        </w:rPr>
        <w:lastRenderedPageBreak/>
        <w:t>la technologie/software, l’éducation et les services aux entreprises. 21 Invest accompagne la transformation d’entreprises en y apportant son expertise en matière de structuration et d’accélération de la croissance, notamment par consolidation de marchés.</w:t>
      </w:r>
    </w:p>
    <w:p w14:paraId="13295898" w14:textId="77777777" w:rsidR="00AE5C55" w:rsidRDefault="00AE5C55" w:rsidP="00AE5C55">
      <w:pPr>
        <w:spacing w:after="0" w:line="240" w:lineRule="auto"/>
        <w:rPr>
          <w:rFonts w:ascii="IBM Plex Sans" w:hAnsi="IBM Plex Sans"/>
          <w:sz w:val="20"/>
          <w:szCs w:val="20"/>
        </w:rPr>
      </w:pPr>
    </w:p>
    <w:p w14:paraId="5A50AF5E" w14:textId="1A218649" w:rsidR="00955D96" w:rsidRPr="00B71EDF" w:rsidRDefault="00955D96" w:rsidP="00AE5C55">
      <w:pPr>
        <w:spacing w:after="0" w:line="240" w:lineRule="auto"/>
        <w:rPr>
          <w:rFonts w:ascii="IBM Plex Sans" w:hAnsi="IBM Plex Sans"/>
          <w:sz w:val="20"/>
          <w:szCs w:val="20"/>
        </w:rPr>
      </w:pPr>
      <w:r w:rsidRPr="00B71EDF">
        <w:rPr>
          <w:rFonts w:ascii="IBM Plex Sans" w:hAnsi="IBM Plex Sans"/>
          <w:sz w:val="20"/>
          <w:szCs w:val="20"/>
        </w:rPr>
        <w:t xml:space="preserve">Pour plus d'informations, rendez-vous sur </w:t>
      </w:r>
      <w:hyperlink r:id="rId11" w:history="1">
        <w:r w:rsidRPr="00B71EDF">
          <w:rPr>
            <w:rStyle w:val="Lienhypertexte"/>
            <w:rFonts w:ascii="IBM Plex Sans" w:hAnsi="IBM Plex Sans"/>
            <w:sz w:val="20"/>
            <w:szCs w:val="20"/>
          </w:rPr>
          <w:t>www.21invest.com</w:t>
        </w:r>
      </w:hyperlink>
    </w:p>
    <w:p w14:paraId="2F684C59" w14:textId="07889219" w:rsidR="00131934" w:rsidRPr="00F94CB7" w:rsidRDefault="00955D96" w:rsidP="00AE5C55">
      <w:pPr>
        <w:pStyle w:val="Sansinterligne"/>
        <w:spacing w:before="60"/>
        <w:rPr>
          <w:rFonts w:ascii="IBM Plex Sans" w:hAnsi="IBM Plex Sans"/>
          <w:sz w:val="20"/>
          <w:szCs w:val="20"/>
        </w:rPr>
      </w:pPr>
      <w:r w:rsidRPr="00F94CB7">
        <w:rPr>
          <w:rFonts w:ascii="IBM Plex Sans" w:hAnsi="IBM Plex Sans"/>
          <w:b/>
          <w:sz w:val="20"/>
          <w:szCs w:val="20"/>
        </w:rPr>
        <w:t xml:space="preserve">Contact : </w:t>
      </w:r>
      <w:r w:rsidR="00F94CB7" w:rsidRPr="00F94CB7">
        <w:rPr>
          <w:rFonts w:ascii="IBM Plex Sans" w:hAnsi="IBM Plex Sans"/>
          <w:b/>
          <w:sz w:val="20"/>
          <w:szCs w:val="20"/>
        </w:rPr>
        <w:t>Laure Lagarde, llagarde@21investfrance.</w:t>
      </w:r>
      <w:r w:rsidR="00F94CB7">
        <w:rPr>
          <w:rFonts w:ascii="IBM Plex Sans" w:hAnsi="IBM Plex Sans"/>
          <w:b/>
          <w:sz w:val="20"/>
          <w:szCs w:val="20"/>
        </w:rPr>
        <w:t>com</w:t>
      </w:r>
    </w:p>
    <w:sectPr w:rsidR="00131934" w:rsidRPr="00F94CB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2DE18" w14:textId="77777777" w:rsidR="00DA7499" w:rsidRDefault="00DA7499" w:rsidP="00F7517D">
      <w:pPr>
        <w:spacing w:after="0" w:line="240" w:lineRule="auto"/>
      </w:pPr>
      <w:r>
        <w:separator/>
      </w:r>
    </w:p>
  </w:endnote>
  <w:endnote w:type="continuationSeparator" w:id="0">
    <w:p w14:paraId="631DBD75" w14:textId="77777777" w:rsidR="00DA7499" w:rsidRDefault="00DA7499" w:rsidP="00F75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BM Plex Sans">
    <w:altName w:val="IBM Plex Sans"/>
    <w:charset w:val="00"/>
    <w:family w:val="swiss"/>
    <w:pitch w:val="variable"/>
    <w:sig w:usb0="A00002EF" w:usb1="5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B491A" w14:textId="77777777" w:rsidR="00077A09" w:rsidRDefault="00077A0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802568"/>
      <w:docPartObj>
        <w:docPartGallery w:val="Page Numbers (Bottom of Page)"/>
        <w:docPartUnique/>
      </w:docPartObj>
    </w:sdtPr>
    <w:sdtEndPr>
      <w:rPr>
        <w:rFonts w:ascii="IBM Plex Sans" w:hAnsi="IBM Plex Sans"/>
        <w:color w:val="64665D" w:themeColor="accent4"/>
        <w:sz w:val="18"/>
        <w:szCs w:val="18"/>
      </w:rPr>
    </w:sdtEndPr>
    <w:sdtContent>
      <w:sdt>
        <w:sdtPr>
          <w:rPr>
            <w:rFonts w:ascii="IBM Plex Sans" w:hAnsi="IBM Plex Sans"/>
            <w:color w:val="64665D" w:themeColor="accent4"/>
            <w:sz w:val="18"/>
            <w:szCs w:val="18"/>
          </w:rPr>
          <w:id w:val="1728636285"/>
          <w:docPartObj>
            <w:docPartGallery w:val="Page Numbers (Top of Page)"/>
            <w:docPartUnique/>
          </w:docPartObj>
        </w:sdtPr>
        <w:sdtContent>
          <w:p w14:paraId="697D7AAA" w14:textId="77777777" w:rsidR="00F7517D" w:rsidRPr="00F7517D" w:rsidRDefault="00F7517D">
            <w:pPr>
              <w:pStyle w:val="Pieddepage"/>
              <w:jc w:val="center"/>
              <w:rPr>
                <w:rFonts w:ascii="IBM Plex Sans" w:hAnsi="IBM Plex Sans"/>
                <w:color w:val="64665D" w:themeColor="accent4"/>
                <w:sz w:val="18"/>
                <w:szCs w:val="18"/>
              </w:rPr>
            </w:pPr>
            <w:r w:rsidRPr="00F7517D">
              <w:rPr>
                <w:rFonts w:ascii="IBM Plex Sans" w:hAnsi="IBM Plex Sans"/>
                <w:color w:val="64665D" w:themeColor="accent4"/>
                <w:sz w:val="18"/>
                <w:szCs w:val="18"/>
              </w:rPr>
              <w:t xml:space="preserve">Page </w:t>
            </w:r>
            <w:r w:rsidRPr="00F7517D">
              <w:rPr>
                <w:rFonts w:ascii="IBM Plex Sans" w:hAnsi="IBM Plex Sans"/>
                <w:b/>
                <w:bCs/>
                <w:color w:val="64665D" w:themeColor="accent4"/>
                <w:sz w:val="18"/>
                <w:szCs w:val="18"/>
              </w:rPr>
              <w:fldChar w:fldCharType="begin"/>
            </w:r>
            <w:r w:rsidRPr="00F7517D">
              <w:rPr>
                <w:rFonts w:ascii="IBM Plex Sans" w:hAnsi="IBM Plex Sans"/>
                <w:b/>
                <w:bCs/>
                <w:color w:val="64665D" w:themeColor="accent4"/>
                <w:sz w:val="18"/>
                <w:szCs w:val="18"/>
              </w:rPr>
              <w:instrText>PAGE</w:instrText>
            </w:r>
            <w:r w:rsidRPr="00F7517D">
              <w:rPr>
                <w:rFonts w:ascii="IBM Plex Sans" w:hAnsi="IBM Plex Sans"/>
                <w:b/>
                <w:bCs/>
                <w:color w:val="64665D" w:themeColor="accent4"/>
                <w:sz w:val="18"/>
                <w:szCs w:val="18"/>
              </w:rPr>
              <w:fldChar w:fldCharType="separate"/>
            </w:r>
            <w:r w:rsidR="00CC5B40">
              <w:rPr>
                <w:rFonts w:ascii="IBM Plex Sans" w:hAnsi="IBM Plex Sans"/>
                <w:b/>
                <w:bCs/>
                <w:noProof/>
                <w:color w:val="64665D" w:themeColor="accent4"/>
                <w:sz w:val="18"/>
                <w:szCs w:val="18"/>
              </w:rPr>
              <w:t>2</w:t>
            </w:r>
            <w:r w:rsidRPr="00F7517D">
              <w:rPr>
                <w:rFonts w:ascii="IBM Plex Sans" w:hAnsi="IBM Plex Sans"/>
                <w:b/>
                <w:bCs/>
                <w:color w:val="64665D" w:themeColor="accent4"/>
                <w:sz w:val="18"/>
                <w:szCs w:val="18"/>
              </w:rPr>
              <w:fldChar w:fldCharType="end"/>
            </w:r>
            <w:r w:rsidRPr="00F7517D">
              <w:rPr>
                <w:rFonts w:ascii="IBM Plex Sans" w:hAnsi="IBM Plex Sans"/>
                <w:color w:val="64665D" w:themeColor="accent4"/>
                <w:sz w:val="18"/>
                <w:szCs w:val="18"/>
              </w:rPr>
              <w:t xml:space="preserve"> sur </w:t>
            </w:r>
            <w:r w:rsidRPr="00F7517D">
              <w:rPr>
                <w:rFonts w:ascii="IBM Plex Sans" w:hAnsi="IBM Plex Sans"/>
                <w:b/>
                <w:bCs/>
                <w:color w:val="64665D" w:themeColor="accent4"/>
                <w:sz w:val="18"/>
                <w:szCs w:val="18"/>
              </w:rPr>
              <w:fldChar w:fldCharType="begin"/>
            </w:r>
            <w:r w:rsidRPr="00F7517D">
              <w:rPr>
                <w:rFonts w:ascii="IBM Plex Sans" w:hAnsi="IBM Plex Sans"/>
                <w:b/>
                <w:bCs/>
                <w:color w:val="64665D" w:themeColor="accent4"/>
                <w:sz w:val="18"/>
                <w:szCs w:val="18"/>
              </w:rPr>
              <w:instrText>NUMPAGES</w:instrText>
            </w:r>
            <w:r w:rsidRPr="00F7517D">
              <w:rPr>
                <w:rFonts w:ascii="IBM Plex Sans" w:hAnsi="IBM Plex Sans"/>
                <w:b/>
                <w:bCs/>
                <w:color w:val="64665D" w:themeColor="accent4"/>
                <w:sz w:val="18"/>
                <w:szCs w:val="18"/>
              </w:rPr>
              <w:fldChar w:fldCharType="separate"/>
            </w:r>
            <w:r w:rsidR="00CC5B40">
              <w:rPr>
                <w:rFonts w:ascii="IBM Plex Sans" w:hAnsi="IBM Plex Sans"/>
                <w:b/>
                <w:bCs/>
                <w:noProof/>
                <w:color w:val="64665D" w:themeColor="accent4"/>
                <w:sz w:val="18"/>
                <w:szCs w:val="18"/>
              </w:rPr>
              <w:t>3</w:t>
            </w:r>
            <w:r w:rsidRPr="00F7517D">
              <w:rPr>
                <w:rFonts w:ascii="IBM Plex Sans" w:hAnsi="IBM Plex Sans"/>
                <w:b/>
                <w:bCs/>
                <w:color w:val="64665D" w:themeColor="accent4"/>
                <w:sz w:val="18"/>
                <w:szCs w:val="18"/>
              </w:rPr>
              <w:fldChar w:fldCharType="end"/>
            </w:r>
          </w:p>
        </w:sdtContent>
      </w:sdt>
    </w:sdtContent>
  </w:sdt>
  <w:p w14:paraId="0DD7AE97" w14:textId="77777777" w:rsidR="00F7517D" w:rsidRDefault="00F7517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7D0BE" w14:textId="77777777" w:rsidR="00077A09" w:rsidRDefault="00077A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39A89" w14:textId="77777777" w:rsidR="00DA7499" w:rsidRDefault="00DA7499" w:rsidP="00F7517D">
      <w:pPr>
        <w:spacing w:after="0" w:line="240" w:lineRule="auto"/>
      </w:pPr>
      <w:r>
        <w:separator/>
      </w:r>
    </w:p>
  </w:footnote>
  <w:footnote w:type="continuationSeparator" w:id="0">
    <w:p w14:paraId="22BC44A7" w14:textId="77777777" w:rsidR="00DA7499" w:rsidRDefault="00DA7499" w:rsidP="00F75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E9378" w14:textId="77777777" w:rsidR="00077A09" w:rsidRDefault="00077A0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1F863" w14:textId="77777777" w:rsidR="00077A09" w:rsidRDefault="00077A0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2190B" w14:textId="77777777" w:rsidR="00077A09" w:rsidRDefault="00077A0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64B47"/>
    <w:multiLevelType w:val="hybridMultilevel"/>
    <w:tmpl w:val="4F5A97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9D544B1"/>
    <w:multiLevelType w:val="hybridMultilevel"/>
    <w:tmpl w:val="FB00E480"/>
    <w:lvl w:ilvl="0" w:tplc="C2B2D5A4">
      <w:start w:val="1"/>
      <w:numFmt w:val="bullet"/>
      <w:lvlText w:val=""/>
      <w:lvlJc w:val="left"/>
      <w:pPr>
        <w:ind w:left="360" w:hanging="360"/>
      </w:pPr>
      <w:rPr>
        <w:rFonts w:ascii="Symbol" w:hAnsi="Symbol" w:hint="default"/>
        <w:sz w:val="16"/>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6EF1702C"/>
    <w:multiLevelType w:val="hybridMultilevel"/>
    <w:tmpl w:val="1C94A6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3A605B0"/>
    <w:multiLevelType w:val="hybridMultilevel"/>
    <w:tmpl w:val="D80026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02273426">
    <w:abstractNumId w:val="1"/>
  </w:num>
  <w:num w:numId="2" w16cid:durableId="182088743">
    <w:abstractNumId w:val="3"/>
  </w:num>
  <w:num w:numId="3" w16cid:durableId="2081442753">
    <w:abstractNumId w:val="2"/>
  </w:num>
  <w:num w:numId="4" w16cid:durableId="85463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C08"/>
    <w:rsid w:val="00000EF8"/>
    <w:rsid w:val="00007AFC"/>
    <w:rsid w:val="000159C3"/>
    <w:rsid w:val="00016469"/>
    <w:rsid w:val="00022E3A"/>
    <w:rsid w:val="00026437"/>
    <w:rsid w:val="00027D33"/>
    <w:rsid w:val="0003079A"/>
    <w:rsid w:val="00035AA3"/>
    <w:rsid w:val="000368B1"/>
    <w:rsid w:val="00041044"/>
    <w:rsid w:val="000440DF"/>
    <w:rsid w:val="00051282"/>
    <w:rsid w:val="00056A75"/>
    <w:rsid w:val="00057836"/>
    <w:rsid w:val="0007795C"/>
    <w:rsid w:val="00077A09"/>
    <w:rsid w:val="00080198"/>
    <w:rsid w:val="0008182E"/>
    <w:rsid w:val="00082DAE"/>
    <w:rsid w:val="000842C2"/>
    <w:rsid w:val="000843C0"/>
    <w:rsid w:val="00084E5B"/>
    <w:rsid w:val="00096C9E"/>
    <w:rsid w:val="000977F4"/>
    <w:rsid w:val="000A0BF4"/>
    <w:rsid w:val="000A2B9A"/>
    <w:rsid w:val="000B53FB"/>
    <w:rsid w:val="000B7135"/>
    <w:rsid w:val="000C7048"/>
    <w:rsid w:val="000D017E"/>
    <w:rsid w:val="000D1526"/>
    <w:rsid w:val="000D1D01"/>
    <w:rsid w:val="000D4101"/>
    <w:rsid w:val="000E2EAD"/>
    <w:rsid w:val="000E421C"/>
    <w:rsid w:val="000E5D96"/>
    <w:rsid w:val="000F63C1"/>
    <w:rsid w:val="00130513"/>
    <w:rsid w:val="00131934"/>
    <w:rsid w:val="00133AB5"/>
    <w:rsid w:val="00134351"/>
    <w:rsid w:val="001359B0"/>
    <w:rsid w:val="00141320"/>
    <w:rsid w:val="00141AEC"/>
    <w:rsid w:val="00156924"/>
    <w:rsid w:val="00165D4A"/>
    <w:rsid w:val="00167F09"/>
    <w:rsid w:val="00176848"/>
    <w:rsid w:val="001822F7"/>
    <w:rsid w:val="00184D88"/>
    <w:rsid w:val="00186220"/>
    <w:rsid w:val="00186A41"/>
    <w:rsid w:val="00187003"/>
    <w:rsid w:val="00190890"/>
    <w:rsid w:val="0019103B"/>
    <w:rsid w:val="00193824"/>
    <w:rsid w:val="0019461D"/>
    <w:rsid w:val="00194710"/>
    <w:rsid w:val="001A456A"/>
    <w:rsid w:val="001A7D86"/>
    <w:rsid w:val="001B1909"/>
    <w:rsid w:val="001B609B"/>
    <w:rsid w:val="001C4D43"/>
    <w:rsid w:val="001C66B7"/>
    <w:rsid w:val="001D13DA"/>
    <w:rsid w:val="001D1F29"/>
    <w:rsid w:val="001D28CD"/>
    <w:rsid w:val="001D3067"/>
    <w:rsid w:val="001E0469"/>
    <w:rsid w:val="001E579B"/>
    <w:rsid w:val="001F5DD6"/>
    <w:rsid w:val="001F5E60"/>
    <w:rsid w:val="00200C32"/>
    <w:rsid w:val="0020436A"/>
    <w:rsid w:val="00210BBD"/>
    <w:rsid w:val="00210D77"/>
    <w:rsid w:val="00214A57"/>
    <w:rsid w:val="00220FE6"/>
    <w:rsid w:val="00222612"/>
    <w:rsid w:val="0022312C"/>
    <w:rsid w:val="00226158"/>
    <w:rsid w:val="0023002B"/>
    <w:rsid w:val="002300DA"/>
    <w:rsid w:val="00233C8B"/>
    <w:rsid w:val="00234E7C"/>
    <w:rsid w:val="0023625C"/>
    <w:rsid w:val="00236F29"/>
    <w:rsid w:val="00240033"/>
    <w:rsid w:val="00242A1C"/>
    <w:rsid w:val="00243FC3"/>
    <w:rsid w:val="002447FA"/>
    <w:rsid w:val="0025649E"/>
    <w:rsid w:val="00257E6F"/>
    <w:rsid w:val="0026401B"/>
    <w:rsid w:val="00266360"/>
    <w:rsid w:val="002704CA"/>
    <w:rsid w:val="0027166A"/>
    <w:rsid w:val="00275EC7"/>
    <w:rsid w:val="0028025F"/>
    <w:rsid w:val="002931D9"/>
    <w:rsid w:val="002952B6"/>
    <w:rsid w:val="002A06F4"/>
    <w:rsid w:val="002A48D5"/>
    <w:rsid w:val="002B3838"/>
    <w:rsid w:val="002B3C9B"/>
    <w:rsid w:val="002B6E07"/>
    <w:rsid w:val="002B7493"/>
    <w:rsid w:val="002C0733"/>
    <w:rsid w:val="002C1AE7"/>
    <w:rsid w:val="002C249B"/>
    <w:rsid w:val="002C35A9"/>
    <w:rsid w:val="002D20C3"/>
    <w:rsid w:val="002D2436"/>
    <w:rsid w:val="002D2605"/>
    <w:rsid w:val="002D37F2"/>
    <w:rsid w:val="002D3D08"/>
    <w:rsid w:val="002D4729"/>
    <w:rsid w:val="002D5312"/>
    <w:rsid w:val="002D651A"/>
    <w:rsid w:val="002D7177"/>
    <w:rsid w:val="002E3919"/>
    <w:rsid w:val="002F0361"/>
    <w:rsid w:val="002F5147"/>
    <w:rsid w:val="0030192D"/>
    <w:rsid w:val="00301998"/>
    <w:rsid w:val="0030247A"/>
    <w:rsid w:val="00304864"/>
    <w:rsid w:val="0030606B"/>
    <w:rsid w:val="0030636F"/>
    <w:rsid w:val="00314854"/>
    <w:rsid w:val="00320DBA"/>
    <w:rsid w:val="00322255"/>
    <w:rsid w:val="0032438A"/>
    <w:rsid w:val="00325EF6"/>
    <w:rsid w:val="0033088B"/>
    <w:rsid w:val="00331D98"/>
    <w:rsid w:val="00332942"/>
    <w:rsid w:val="00332C6F"/>
    <w:rsid w:val="0033605A"/>
    <w:rsid w:val="003404BF"/>
    <w:rsid w:val="0034417D"/>
    <w:rsid w:val="00345491"/>
    <w:rsid w:val="003468D6"/>
    <w:rsid w:val="0035158A"/>
    <w:rsid w:val="0035187C"/>
    <w:rsid w:val="00351AFD"/>
    <w:rsid w:val="00352ECC"/>
    <w:rsid w:val="00353E4A"/>
    <w:rsid w:val="00354436"/>
    <w:rsid w:val="003576AC"/>
    <w:rsid w:val="00357775"/>
    <w:rsid w:val="00362928"/>
    <w:rsid w:val="00364EC2"/>
    <w:rsid w:val="003669E3"/>
    <w:rsid w:val="003715EC"/>
    <w:rsid w:val="00372289"/>
    <w:rsid w:val="00375E95"/>
    <w:rsid w:val="00377D79"/>
    <w:rsid w:val="00381510"/>
    <w:rsid w:val="00381CDC"/>
    <w:rsid w:val="00387B4B"/>
    <w:rsid w:val="00392ADF"/>
    <w:rsid w:val="00392CFF"/>
    <w:rsid w:val="00393CA8"/>
    <w:rsid w:val="0039523B"/>
    <w:rsid w:val="003A4386"/>
    <w:rsid w:val="003A6BE9"/>
    <w:rsid w:val="003B03C5"/>
    <w:rsid w:val="003B1255"/>
    <w:rsid w:val="003B706D"/>
    <w:rsid w:val="003B714C"/>
    <w:rsid w:val="003C18D4"/>
    <w:rsid w:val="003C4932"/>
    <w:rsid w:val="003D3580"/>
    <w:rsid w:val="003E0B37"/>
    <w:rsid w:val="003E5FC5"/>
    <w:rsid w:val="003E7AC8"/>
    <w:rsid w:val="003E7BC9"/>
    <w:rsid w:val="003F119A"/>
    <w:rsid w:val="003F2CDA"/>
    <w:rsid w:val="003F79EA"/>
    <w:rsid w:val="00401A86"/>
    <w:rsid w:val="00401DE9"/>
    <w:rsid w:val="00402471"/>
    <w:rsid w:val="00410E1B"/>
    <w:rsid w:val="0041515C"/>
    <w:rsid w:val="00416BFD"/>
    <w:rsid w:val="004177B4"/>
    <w:rsid w:val="004210C1"/>
    <w:rsid w:val="0043290A"/>
    <w:rsid w:val="00432913"/>
    <w:rsid w:val="00443C99"/>
    <w:rsid w:val="00444F0D"/>
    <w:rsid w:val="0044641F"/>
    <w:rsid w:val="00451B90"/>
    <w:rsid w:val="004537C1"/>
    <w:rsid w:val="004554CF"/>
    <w:rsid w:val="004566E6"/>
    <w:rsid w:val="00461AD2"/>
    <w:rsid w:val="004624DD"/>
    <w:rsid w:val="0046497B"/>
    <w:rsid w:val="004704CC"/>
    <w:rsid w:val="00472FAE"/>
    <w:rsid w:val="0047743A"/>
    <w:rsid w:val="004778A7"/>
    <w:rsid w:val="004800AA"/>
    <w:rsid w:val="0048197D"/>
    <w:rsid w:val="00481F5F"/>
    <w:rsid w:val="00482FCF"/>
    <w:rsid w:val="00485131"/>
    <w:rsid w:val="00497333"/>
    <w:rsid w:val="004A32B1"/>
    <w:rsid w:val="004A6D87"/>
    <w:rsid w:val="004B2C44"/>
    <w:rsid w:val="004B4522"/>
    <w:rsid w:val="004B553F"/>
    <w:rsid w:val="004C4DE6"/>
    <w:rsid w:val="004D0CB3"/>
    <w:rsid w:val="004D66AC"/>
    <w:rsid w:val="004D7833"/>
    <w:rsid w:val="004E0E8D"/>
    <w:rsid w:val="004F70A3"/>
    <w:rsid w:val="004F7B24"/>
    <w:rsid w:val="004F7ED6"/>
    <w:rsid w:val="00500097"/>
    <w:rsid w:val="00504C85"/>
    <w:rsid w:val="005063F8"/>
    <w:rsid w:val="005117AD"/>
    <w:rsid w:val="00512DCD"/>
    <w:rsid w:val="00513B81"/>
    <w:rsid w:val="00514480"/>
    <w:rsid w:val="00516FCC"/>
    <w:rsid w:val="00522ED4"/>
    <w:rsid w:val="00523A02"/>
    <w:rsid w:val="00525817"/>
    <w:rsid w:val="00534B22"/>
    <w:rsid w:val="00537F5A"/>
    <w:rsid w:val="00542A6B"/>
    <w:rsid w:val="00553C9B"/>
    <w:rsid w:val="00554074"/>
    <w:rsid w:val="00556570"/>
    <w:rsid w:val="00560DDA"/>
    <w:rsid w:val="00563299"/>
    <w:rsid w:val="00570201"/>
    <w:rsid w:val="00571C76"/>
    <w:rsid w:val="00574199"/>
    <w:rsid w:val="00574363"/>
    <w:rsid w:val="00584172"/>
    <w:rsid w:val="005868A0"/>
    <w:rsid w:val="00592EB7"/>
    <w:rsid w:val="005A03EF"/>
    <w:rsid w:val="005A5965"/>
    <w:rsid w:val="005A67C9"/>
    <w:rsid w:val="005B1AB6"/>
    <w:rsid w:val="005B47FF"/>
    <w:rsid w:val="005B6FAA"/>
    <w:rsid w:val="005C1D6C"/>
    <w:rsid w:val="005C5A4B"/>
    <w:rsid w:val="005C5AD2"/>
    <w:rsid w:val="005C7447"/>
    <w:rsid w:val="005D029D"/>
    <w:rsid w:val="005D6656"/>
    <w:rsid w:val="005D69E8"/>
    <w:rsid w:val="005E753B"/>
    <w:rsid w:val="005F28D9"/>
    <w:rsid w:val="005F4B93"/>
    <w:rsid w:val="00603448"/>
    <w:rsid w:val="0061468D"/>
    <w:rsid w:val="006164C2"/>
    <w:rsid w:val="00616B53"/>
    <w:rsid w:val="00620E82"/>
    <w:rsid w:val="00634F14"/>
    <w:rsid w:val="00637B6F"/>
    <w:rsid w:val="00641A72"/>
    <w:rsid w:val="00642483"/>
    <w:rsid w:val="00643B84"/>
    <w:rsid w:val="00644074"/>
    <w:rsid w:val="00646F58"/>
    <w:rsid w:val="0064740C"/>
    <w:rsid w:val="00652C0C"/>
    <w:rsid w:val="00653802"/>
    <w:rsid w:val="00655F5B"/>
    <w:rsid w:val="0066187D"/>
    <w:rsid w:val="00663C68"/>
    <w:rsid w:val="00664A35"/>
    <w:rsid w:val="00666084"/>
    <w:rsid w:val="00673B54"/>
    <w:rsid w:val="00680AAD"/>
    <w:rsid w:val="00683449"/>
    <w:rsid w:val="00683681"/>
    <w:rsid w:val="006917DD"/>
    <w:rsid w:val="00693592"/>
    <w:rsid w:val="006935BF"/>
    <w:rsid w:val="00697A66"/>
    <w:rsid w:val="006A244A"/>
    <w:rsid w:val="006A2BC0"/>
    <w:rsid w:val="006A56C2"/>
    <w:rsid w:val="006A6BAF"/>
    <w:rsid w:val="006B0012"/>
    <w:rsid w:val="006B19DF"/>
    <w:rsid w:val="006B4178"/>
    <w:rsid w:val="006B6110"/>
    <w:rsid w:val="006C2782"/>
    <w:rsid w:val="006C37AF"/>
    <w:rsid w:val="006D0319"/>
    <w:rsid w:val="006D4487"/>
    <w:rsid w:val="006E0B65"/>
    <w:rsid w:val="006E18A3"/>
    <w:rsid w:val="006E276C"/>
    <w:rsid w:val="006E7700"/>
    <w:rsid w:val="006F4FC7"/>
    <w:rsid w:val="006F57A2"/>
    <w:rsid w:val="006F6A9A"/>
    <w:rsid w:val="006F729A"/>
    <w:rsid w:val="00704D16"/>
    <w:rsid w:val="00705344"/>
    <w:rsid w:val="00706B93"/>
    <w:rsid w:val="00707549"/>
    <w:rsid w:val="00707C14"/>
    <w:rsid w:val="00710C32"/>
    <w:rsid w:val="00710FC0"/>
    <w:rsid w:val="00712693"/>
    <w:rsid w:val="00713FA9"/>
    <w:rsid w:val="00715337"/>
    <w:rsid w:val="00716452"/>
    <w:rsid w:val="007214D6"/>
    <w:rsid w:val="00721738"/>
    <w:rsid w:val="00724B69"/>
    <w:rsid w:val="00727C67"/>
    <w:rsid w:val="00732251"/>
    <w:rsid w:val="007353B7"/>
    <w:rsid w:val="0073799A"/>
    <w:rsid w:val="007413B1"/>
    <w:rsid w:val="00743BF5"/>
    <w:rsid w:val="007462D8"/>
    <w:rsid w:val="00747C10"/>
    <w:rsid w:val="0075635E"/>
    <w:rsid w:val="007576DF"/>
    <w:rsid w:val="00763097"/>
    <w:rsid w:val="00775D77"/>
    <w:rsid w:val="007776C8"/>
    <w:rsid w:val="007831E8"/>
    <w:rsid w:val="00790B34"/>
    <w:rsid w:val="00792A80"/>
    <w:rsid w:val="007A14DC"/>
    <w:rsid w:val="007A30F2"/>
    <w:rsid w:val="007A3DEC"/>
    <w:rsid w:val="007A7C2D"/>
    <w:rsid w:val="007B050A"/>
    <w:rsid w:val="007C5BE2"/>
    <w:rsid w:val="007D162A"/>
    <w:rsid w:val="007E2D96"/>
    <w:rsid w:val="007E39B5"/>
    <w:rsid w:val="007E4066"/>
    <w:rsid w:val="007E730B"/>
    <w:rsid w:val="007E7634"/>
    <w:rsid w:val="007F4401"/>
    <w:rsid w:val="007F667B"/>
    <w:rsid w:val="00801849"/>
    <w:rsid w:val="00805778"/>
    <w:rsid w:val="00813DBA"/>
    <w:rsid w:val="00813E52"/>
    <w:rsid w:val="00817422"/>
    <w:rsid w:val="008250B7"/>
    <w:rsid w:val="008342C8"/>
    <w:rsid w:val="00834932"/>
    <w:rsid w:val="00834F63"/>
    <w:rsid w:val="0084253C"/>
    <w:rsid w:val="008437A5"/>
    <w:rsid w:val="00845C08"/>
    <w:rsid w:val="00850818"/>
    <w:rsid w:val="00851448"/>
    <w:rsid w:val="00851A1C"/>
    <w:rsid w:val="00854532"/>
    <w:rsid w:val="00855946"/>
    <w:rsid w:val="00856861"/>
    <w:rsid w:val="00861188"/>
    <w:rsid w:val="008636CA"/>
    <w:rsid w:val="00867E9D"/>
    <w:rsid w:val="00872D84"/>
    <w:rsid w:val="00873202"/>
    <w:rsid w:val="00874DF7"/>
    <w:rsid w:val="00877A2B"/>
    <w:rsid w:val="00877AC7"/>
    <w:rsid w:val="00880458"/>
    <w:rsid w:val="00882181"/>
    <w:rsid w:val="00882846"/>
    <w:rsid w:val="00885B30"/>
    <w:rsid w:val="008872E9"/>
    <w:rsid w:val="0088755B"/>
    <w:rsid w:val="008875ED"/>
    <w:rsid w:val="008911CA"/>
    <w:rsid w:val="00893617"/>
    <w:rsid w:val="00894A28"/>
    <w:rsid w:val="008A0568"/>
    <w:rsid w:val="008B075D"/>
    <w:rsid w:val="008B10A4"/>
    <w:rsid w:val="008B23AB"/>
    <w:rsid w:val="008B2DC6"/>
    <w:rsid w:val="008B5AD9"/>
    <w:rsid w:val="008C3D08"/>
    <w:rsid w:val="008C68D1"/>
    <w:rsid w:val="008E42F0"/>
    <w:rsid w:val="008E647F"/>
    <w:rsid w:val="008E69C2"/>
    <w:rsid w:val="008E7BF9"/>
    <w:rsid w:val="008F5DE2"/>
    <w:rsid w:val="008F61A7"/>
    <w:rsid w:val="008F6625"/>
    <w:rsid w:val="009014FF"/>
    <w:rsid w:val="009028EA"/>
    <w:rsid w:val="0091032E"/>
    <w:rsid w:val="0091043A"/>
    <w:rsid w:val="00915EF2"/>
    <w:rsid w:val="00917FB2"/>
    <w:rsid w:val="0092554B"/>
    <w:rsid w:val="0092743F"/>
    <w:rsid w:val="00930316"/>
    <w:rsid w:val="00931775"/>
    <w:rsid w:val="00935A2E"/>
    <w:rsid w:val="00937DA7"/>
    <w:rsid w:val="00943B57"/>
    <w:rsid w:val="00946D3F"/>
    <w:rsid w:val="00950995"/>
    <w:rsid w:val="009518C0"/>
    <w:rsid w:val="00953511"/>
    <w:rsid w:val="00954782"/>
    <w:rsid w:val="009552BD"/>
    <w:rsid w:val="00955D96"/>
    <w:rsid w:val="0096348F"/>
    <w:rsid w:val="0096384F"/>
    <w:rsid w:val="00974574"/>
    <w:rsid w:val="00976172"/>
    <w:rsid w:val="00981FCC"/>
    <w:rsid w:val="00982B28"/>
    <w:rsid w:val="0098370A"/>
    <w:rsid w:val="00986974"/>
    <w:rsid w:val="0098789E"/>
    <w:rsid w:val="00987B03"/>
    <w:rsid w:val="00991AE0"/>
    <w:rsid w:val="009943DA"/>
    <w:rsid w:val="0099507C"/>
    <w:rsid w:val="009A7709"/>
    <w:rsid w:val="009B23B9"/>
    <w:rsid w:val="009B3121"/>
    <w:rsid w:val="009C25ED"/>
    <w:rsid w:val="009C449E"/>
    <w:rsid w:val="009C67B9"/>
    <w:rsid w:val="009D1BA1"/>
    <w:rsid w:val="009D61A8"/>
    <w:rsid w:val="009E2DCC"/>
    <w:rsid w:val="009E3D0D"/>
    <w:rsid w:val="009E6F3E"/>
    <w:rsid w:val="009F0137"/>
    <w:rsid w:val="009F1C45"/>
    <w:rsid w:val="00A01719"/>
    <w:rsid w:val="00A0606A"/>
    <w:rsid w:val="00A11ABA"/>
    <w:rsid w:val="00A13CBA"/>
    <w:rsid w:val="00A14541"/>
    <w:rsid w:val="00A14633"/>
    <w:rsid w:val="00A15ED1"/>
    <w:rsid w:val="00A2151D"/>
    <w:rsid w:val="00A22F2D"/>
    <w:rsid w:val="00A23FCE"/>
    <w:rsid w:val="00A25478"/>
    <w:rsid w:val="00A25C7C"/>
    <w:rsid w:val="00A25FDF"/>
    <w:rsid w:val="00A33599"/>
    <w:rsid w:val="00A335F7"/>
    <w:rsid w:val="00A35C9E"/>
    <w:rsid w:val="00A36C33"/>
    <w:rsid w:val="00A40D4E"/>
    <w:rsid w:val="00A41770"/>
    <w:rsid w:val="00A443E5"/>
    <w:rsid w:val="00A50CA1"/>
    <w:rsid w:val="00A560A7"/>
    <w:rsid w:val="00A578CD"/>
    <w:rsid w:val="00A612C7"/>
    <w:rsid w:val="00A6154A"/>
    <w:rsid w:val="00A63023"/>
    <w:rsid w:val="00A63CFE"/>
    <w:rsid w:val="00A64C67"/>
    <w:rsid w:val="00A72D7E"/>
    <w:rsid w:val="00A72FF7"/>
    <w:rsid w:val="00A775D9"/>
    <w:rsid w:val="00A83FCC"/>
    <w:rsid w:val="00A84C48"/>
    <w:rsid w:val="00A90ABB"/>
    <w:rsid w:val="00A93C62"/>
    <w:rsid w:val="00A95E37"/>
    <w:rsid w:val="00A95E61"/>
    <w:rsid w:val="00AA5C0C"/>
    <w:rsid w:val="00AB07C9"/>
    <w:rsid w:val="00AB18E7"/>
    <w:rsid w:val="00AB25F5"/>
    <w:rsid w:val="00AB44A3"/>
    <w:rsid w:val="00AB6BC7"/>
    <w:rsid w:val="00AC7CE5"/>
    <w:rsid w:val="00AD237B"/>
    <w:rsid w:val="00AD2D75"/>
    <w:rsid w:val="00AD346B"/>
    <w:rsid w:val="00AD4B9E"/>
    <w:rsid w:val="00AD6CD6"/>
    <w:rsid w:val="00AD78AA"/>
    <w:rsid w:val="00AE3D17"/>
    <w:rsid w:val="00AE4079"/>
    <w:rsid w:val="00AE5C55"/>
    <w:rsid w:val="00AF41F1"/>
    <w:rsid w:val="00AF6608"/>
    <w:rsid w:val="00AF6D6A"/>
    <w:rsid w:val="00AF6E5B"/>
    <w:rsid w:val="00B01C3F"/>
    <w:rsid w:val="00B04EC7"/>
    <w:rsid w:val="00B07CFE"/>
    <w:rsid w:val="00B1046E"/>
    <w:rsid w:val="00B10BA9"/>
    <w:rsid w:val="00B15264"/>
    <w:rsid w:val="00B16F06"/>
    <w:rsid w:val="00B20F75"/>
    <w:rsid w:val="00B22DD8"/>
    <w:rsid w:val="00B27940"/>
    <w:rsid w:val="00B34B3C"/>
    <w:rsid w:val="00B34F20"/>
    <w:rsid w:val="00B36A7A"/>
    <w:rsid w:val="00B46E54"/>
    <w:rsid w:val="00B50544"/>
    <w:rsid w:val="00B5203E"/>
    <w:rsid w:val="00B52F4D"/>
    <w:rsid w:val="00B5312D"/>
    <w:rsid w:val="00B566E8"/>
    <w:rsid w:val="00B607E6"/>
    <w:rsid w:val="00B62AB4"/>
    <w:rsid w:val="00B64AD9"/>
    <w:rsid w:val="00B65303"/>
    <w:rsid w:val="00B677BE"/>
    <w:rsid w:val="00B74329"/>
    <w:rsid w:val="00B77A59"/>
    <w:rsid w:val="00B83407"/>
    <w:rsid w:val="00B83AEA"/>
    <w:rsid w:val="00B86E80"/>
    <w:rsid w:val="00B87DD8"/>
    <w:rsid w:val="00B91013"/>
    <w:rsid w:val="00B94517"/>
    <w:rsid w:val="00B9519C"/>
    <w:rsid w:val="00B9594F"/>
    <w:rsid w:val="00BA195E"/>
    <w:rsid w:val="00BA2E9D"/>
    <w:rsid w:val="00BA3D1E"/>
    <w:rsid w:val="00BB592D"/>
    <w:rsid w:val="00BC236B"/>
    <w:rsid w:val="00BC489A"/>
    <w:rsid w:val="00BC5427"/>
    <w:rsid w:val="00BD551B"/>
    <w:rsid w:val="00BE427D"/>
    <w:rsid w:val="00BE492F"/>
    <w:rsid w:val="00BF09F9"/>
    <w:rsid w:val="00BF0E4F"/>
    <w:rsid w:val="00BF1D53"/>
    <w:rsid w:val="00BF514B"/>
    <w:rsid w:val="00BF53AF"/>
    <w:rsid w:val="00BF545E"/>
    <w:rsid w:val="00BF6847"/>
    <w:rsid w:val="00C01DD5"/>
    <w:rsid w:val="00C034A2"/>
    <w:rsid w:val="00C14031"/>
    <w:rsid w:val="00C15F24"/>
    <w:rsid w:val="00C17315"/>
    <w:rsid w:val="00C333E0"/>
    <w:rsid w:val="00C33F99"/>
    <w:rsid w:val="00C3590D"/>
    <w:rsid w:val="00C407C3"/>
    <w:rsid w:val="00C421CC"/>
    <w:rsid w:val="00C46B71"/>
    <w:rsid w:val="00C47EA7"/>
    <w:rsid w:val="00C5390E"/>
    <w:rsid w:val="00C6077E"/>
    <w:rsid w:val="00C63BF3"/>
    <w:rsid w:val="00C65C7F"/>
    <w:rsid w:val="00C67E33"/>
    <w:rsid w:val="00C71297"/>
    <w:rsid w:val="00C71773"/>
    <w:rsid w:val="00C72C49"/>
    <w:rsid w:val="00C741BF"/>
    <w:rsid w:val="00C74767"/>
    <w:rsid w:val="00C76821"/>
    <w:rsid w:val="00C8428D"/>
    <w:rsid w:val="00C90198"/>
    <w:rsid w:val="00C95F33"/>
    <w:rsid w:val="00CA0B4D"/>
    <w:rsid w:val="00CA1516"/>
    <w:rsid w:val="00CA2402"/>
    <w:rsid w:val="00CA4E62"/>
    <w:rsid w:val="00CB1C78"/>
    <w:rsid w:val="00CB2C65"/>
    <w:rsid w:val="00CB2D3C"/>
    <w:rsid w:val="00CB5846"/>
    <w:rsid w:val="00CC365F"/>
    <w:rsid w:val="00CC549B"/>
    <w:rsid w:val="00CC54F5"/>
    <w:rsid w:val="00CC5B40"/>
    <w:rsid w:val="00CC7986"/>
    <w:rsid w:val="00CD052F"/>
    <w:rsid w:val="00CD42C2"/>
    <w:rsid w:val="00CD77C4"/>
    <w:rsid w:val="00CD7BDA"/>
    <w:rsid w:val="00CE1570"/>
    <w:rsid w:val="00CE2E4E"/>
    <w:rsid w:val="00CE3929"/>
    <w:rsid w:val="00CE7EA2"/>
    <w:rsid w:val="00CF2B7E"/>
    <w:rsid w:val="00CF2D0C"/>
    <w:rsid w:val="00CF35EB"/>
    <w:rsid w:val="00CF6A6B"/>
    <w:rsid w:val="00CF758E"/>
    <w:rsid w:val="00D025E5"/>
    <w:rsid w:val="00D02FBF"/>
    <w:rsid w:val="00D03220"/>
    <w:rsid w:val="00D069EB"/>
    <w:rsid w:val="00D10916"/>
    <w:rsid w:val="00D10B9B"/>
    <w:rsid w:val="00D11A8A"/>
    <w:rsid w:val="00D128E1"/>
    <w:rsid w:val="00D14584"/>
    <w:rsid w:val="00D15BD6"/>
    <w:rsid w:val="00D15D60"/>
    <w:rsid w:val="00D22F41"/>
    <w:rsid w:val="00D23128"/>
    <w:rsid w:val="00D2623E"/>
    <w:rsid w:val="00D3013D"/>
    <w:rsid w:val="00D32775"/>
    <w:rsid w:val="00D3616B"/>
    <w:rsid w:val="00D415DA"/>
    <w:rsid w:val="00D44999"/>
    <w:rsid w:val="00D46817"/>
    <w:rsid w:val="00D554AF"/>
    <w:rsid w:val="00D577B2"/>
    <w:rsid w:val="00D57A49"/>
    <w:rsid w:val="00D61B04"/>
    <w:rsid w:val="00D61DA2"/>
    <w:rsid w:val="00D663CD"/>
    <w:rsid w:val="00D74E53"/>
    <w:rsid w:val="00D81A8D"/>
    <w:rsid w:val="00D84A1D"/>
    <w:rsid w:val="00D94527"/>
    <w:rsid w:val="00D955DE"/>
    <w:rsid w:val="00DA0BEC"/>
    <w:rsid w:val="00DA2134"/>
    <w:rsid w:val="00DA2A61"/>
    <w:rsid w:val="00DA3C6B"/>
    <w:rsid w:val="00DA7499"/>
    <w:rsid w:val="00DB412A"/>
    <w:rsid w:val="00DC4056"/>
    <w:rsid w:val="00DC6838"/>
    <w:rsid w:val="00DC7623"/>
    <w:rsid w:val="00DD075E"/>
    <w:rsid w:val="00DD09D6"/>
    <w:rsid w:val="00DD10DF"/>
    <w:rsid w:val="00DD3385"/>
    <w:rsid w:val="00DD68AC"/>
    <w:rsid w:val="00DD6915"/>
    <w:rsid w:val="00DD7D5D"/>
    <w:rsid w:val="00DE0304"/>
    <w:rsid w:val="00DE1E4B"/>
    <w:rsid w:val="00DE30BD"/>
    <w:rsid w:val="00DE3E5B"/>
    <w:rsid w:val="00DE494D"/>
    <w:rsid w:val="00DE58BF"/>
    <w:rsid w:val="00DE6081"/>
    <w:rsid w:val="00DE78A7"/>
    <w:rsid w:val="00DF681A"/>
    <w:rsid w:val="00E00F7A"/>
    <w:rsid w:val="00E01809"/>
    <w:rsid w:val="00E0241B"/>
    <w:rsid w:val="00E06E81"/>
    <w:rsid w:val="00E10180"/>
    <w:rsid w:val="00E11292"/>
    <w:rsid w:val="00E11487"/>
    <w:rsid w:val="00E1522A"/>
    <w:rsid w:val="00E17E79"/>
    <w:rsid w:val="00E21E99"/>
    <w:rsid w:val="00E226FF"/>
    <w:rsid w:val="00E25F9B"/>
    <w:rsid w:val="00E33405"/>
    <w:rsid w:val="00E33CC1"/>
    <w:rsid w:val="00E512F6"/>
    <w:rsid w:val="00E52C2A"/>
    <w:rsid w:val="00E533F8"/>
    <w:rsid w:val="00E55382"/>
    <w:rsid w:val="00E55F6C"/>
    <w:rsid w:val="00E65F84"/>
    <w:rsid w:val="00E70039"/>
    <w:rsid w:val="00E70C18"/>
    <w:rsid w:val="00E74B30"/>
    <w:rsid w:val="00E84A43"/>
    <w:rsid w:val="00E85537"/>
    <w:rsid w:val="00E8709F"/>
    <w:rsid w:val="00E870FD"/>
    <w:rsid w:val="00E93753"/>
    <w:rsid w:val="00EA25A9"/>
    <w:rsid w:val="00EA3E9A"/>
    <w:rsid w:val="00EA7EF4"/>
    <w:rsid w:val="00EB7946"/>
    <w:rsid w:val="00EC386B"/>
    <w:rsid w:val="00EC7F2E"/>
    <w:rsid w:val="00ED3335"/>
    <w:rsid w:val="00EE083B"/>
    <w:rsid w:val="00EE2D26"/>
    <w:rsid w:val="00EE4EC5"/>
    <w:rsid w:val="00EF042A"/>
    <w:rsid w:val="00EF6D09"/>
    <w:rsid w:val="00EF7DD0"/>
    <w:rsid w:val="00F04123"/>
    <w:rsid w:val="00F144C0"/>
    <w:rsid w:val="00F15695"/>
    <w:rsid w:val="00F20F17"/>
    <w:rsid w:val="00F221C1"/>
    <w:rsid w:val="00F22C34"/>
    <w:rsid w:val="00F241CA"/>
    <w:rsid w:val="00F24D8F"/>
    <w:rsid w:val="00F311E9"/>
    <w:rsid w:val="00F31322"/>
    <w:rsid w:val="00F3400B"/>
    <w:rsid w:val="00F35D93"/>
    <w:rsid w:val="00F528C6"/>
    <w:rsid w:val="00F541C2"/>
    <w:rsid w:val="00F55E3B"/>
    <w:rsid w:val="00F56B52"/>
    <w:rsid w:val="00F62964"/>
    <w:rsid w:val="00F63FB5"/>
    <w:rsid w:val="00F65193"/>
    <w:rsid w:val="00F67D76"/>
    <w:rsid w:val="00F72118"/>
    <w:rsid w:val="00F7517D"/>
    <w:rsid w:val="00F8594E"/>
    <w:rsid w:val="00F879A4"/>
    <w:rsid w:val="00F94CB7"/>
    <w:rsid w:val="00F94DCC"/>
    <w:rsid w:val="00F97D27"/>
    <w:rsid w:val="00FA41AD"/>
    <w:rsid w:val="00FA70BD"/>
    <w:rsid w:val="00FB03BA"/>
    <w:rsid w:val="00FC20C3"/>
    <w:rsid w:val="00FC46A5"/>
    <w:rsid w:val="00FC5290"/>
    <w:rsid w:val="00FD01F2"/>
    <w:rsid w:val="00FD1488"/>
    <w:rsid w:val="00FD3401"/>
    <w:rsid w:val="00FD3B5E"/>
    <w:rsid w:val="00FD4C6B"/>
    <w:rsid w:val="00FE1D7C"/>
    <w:rsid w:val="00FE42F1"/>
    <w:rsid w:val="00FE6AA0"/>
    <w:rsid w:val="00FE6FB3"/>
    <w:rsid w:val="00FF04EE"/>
    <w:rsid w:val="00FF2A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803E4"/>
  <w15:chartTrackingRefBased/>
  <w15:docId w15:val="{2EF4E637-455C-4FA6-A2B0-F0AA71CAA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74DF7"/>
    <w:pPr>
      <w:spacing w:after="0" w:line="240" w:lineRule="auto"/>
    </w:pPr>
  </w:style>
  <w:style w:type="paragraph" w:styleId="Sous-titre">
    <w:name w:val="Subtitle"/>
    <w:basedOn w:val="Normal"/>
    <w:next w:val="Normal"/>
    <w:link w:val="Sous-titreCar"/>
    <w:uiPriority w:val="11"/>
    <w:qFormat/>
    <w:rsid w:val="00874DF7"/>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874DF7"/>
    <w:rPr>
      <w:rFonts w:eastAsiaTheme="minorEastAsia"/>
      <w:color w:val="5A5A5A" w:themeColor="text1" w:themeTint="A5"/>
      <w:spacing w:val="15"/>
    </w:rPr>
  </w:style>
  <w:style w:type="character" w:styleId="Lienhypertexte">
    <w:name w:val="Hyperlink"/>
    <w:basedOn w:val="Policepardfaut"/>
    <w:uiPriority w:val="99"/>
    <w:unhideWhenUsed/>
    <w:rsid w:val="00141AEC"/>
    <w:rPr>
      <w:color w:val="77AAAE"/>
      <w:u w:val="single"/>
    </w:rPr>
  </w:style>
  <w:style w:type="character" w:customStyle="1" w:styleId="Mentionnonrsolue1">
    <w:name w:val="Mention non résolue1"/>
    <w:basedOn w:val="Policepardfaut"/>
    <w:uiPriority w:val="99"/>
    <w:semiHidden/>
    <w:unhideWhenUsed/>
    <w:rsid w:val="00E1522A"/>
    <w:rPr>
      <w:color w:val="605E5C"/>
      <w:shd w:val="clear" w:color="auto" w:fill="E1DFDD"/>
    </w:rPr>
  </w:style>
  <w:style w:type="paragraph" w:styleId="En-tte">
    <w:name w:val="header"/>
    <w:basedOn w:val="Normal"/>
    <w:link w:val="En-tteCar"/>
    <w:uiPriority w:val="99"/>
    <w:unhideWhenUsed/>
    <w:rsid w:val="00F7517D"/>
    <w:pPr>
      <w:tabs>
        <w:tab w:val="center" w:pos="4536"/>
        <w:tab w:val="right" w:pos="9072"/>
      </w:tabs>
      <w:spacing w:after="0" w:line="240" w:lineRule="auto"/>
    </w:pPr>
  </w:style>
  <w:style w:type="character" w:customStyle="1" w:styleId="En-tteCar">
    <w:name w:val="En-tête Car"/>
    <w:basedOn w:val="Policepardfaut"/>
    <w:link w:val="En-tte"/>
    <w:uiPriority w:val="99"/>
    <w:rsid w:val="00F7517D"/>
  </w:style>
  <w:style w:type="paragraph" w:styleId="Pieddepage">
    <w:name w:val="footer"/>
    <w:basedOn w:val="Normal"/>
    <w:link w:val="PieddepageCar"/>
    <w:uiPriority w:val="99"/>
    <w:unhideWhenUsed/>
    <w:rsid w:val="00F751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7517D"/>
  </w:style>
  <w:style w:type="paragraph" w:styleId="Textedebulles">
    <w:name w:val="Balloon Text"/>
    <w:basedOn w:val="Normal"/>
    <w:link w:val="TextedebullesCar"/>
    <w:uiPriority w:val="99"/>
    <w:semiHidden/>
    <w:unhideWhenUsed/>
    <w:rsid w:val="00A1463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4633"/>
    <w:rPr>
      <w:rFonts w:ascii="Segoe UI" w:hAnsi="Segoe UI" w:cs="Segoe UI"/>
      <w:sz w:val="18"/>
      <w:szCs w:val="18"/>
    </w:rPr>
  </w:style>
  <w:style w:type="character" w:styleId="Marquedecommentaire">
    <w:name w:val="annotation reference"/>
    <w:basedOn w:val="Policepardfaut"/>
    <w:uiPriority w:val="99"/>
    <w:semiHidden/>
    <w:unhideWhenUsed/>
    <w:rsid w:val="00AD6CD6"/>
    <w:rPr>
      <w:sz w:val="16"/>
      <w:szCs w:val="16"/>
    </w:rPr>
  </w:style>
  <w:style w:type="paragraph" w:styleId="Commentaire">
    <w:name w:val="annotation text"/>
    <w:basedOn w:val="Normal"/>
    <w:link w:val="CommentaireCar"/>
    <w:uiPriority w:val="99"/>
    <w:semiHidden/>
    <w:unhideWhenUsed/>
    <w:rsid w:val="00AD6CD6"/>
    <w:pPr>
      <w:spacing w:line="240" w:lineRule="auto"/>
    </w:pPr>
    <w:rPr>
      <w:sz w:val="20"/>
      <w:szCs w:val="20"/>
    </w:rPr>
  </w:style>
  <w:style w:type="character" w:customStyle="1" w:styleId="CommentaireCar">
    <w:name w:val="Commentaire Car"/>
    <w:basedOn w:val="Policepardfaut"/>
    <w:link w:val="Commentaire"/>
    <w:uiPriority w:val="99"/>
    <w:semiHidden/>
    <w:rsid w:val="00AD6CD6"/>
    <w:rPr>
      <w:sz w:val="20"/>
      <w:szCs w:val="20"/>
    </w:rPr>
  </w:style>
  <w:style w:type="paragraph" w:styleId="Objetducommentaire">
    <w:name w:val="annotation subject"/>
    <w:basedOn w:val="Commentaire"/>
    <w:next w:val="Commentaire"/>
    <w:link w:val="ObjetducommentaireCar"/>
    <w:uiPriority w:val="99"/>
    <w:semiHidden/>
    <w:unhideWhenUsed/>
    <w:rsid w:val="00AD6CD6"/>
    <w:rPr>
      <w:b/>
      <w:bCs/>
    </w:rPr>
  </w:style>
  <w:style w:type="character" w:customStyle="1" w:styleId="ObjetducommentaireCar">
    <w:name w:val="Objet du commentaire Car"/>
    <w:basedOn w:val="CommentaireCar"/>
    <w:link w:val="Objetducommentaire"/>
    <w:uiPriority w:val="99"/>
    <w:semiHidden/>
    <w:rsid w:val="00AD6CD6"/>
    <w:rPr>
      <w:b/>
      <w:bCs/>
      <w:sz w:val="20"/>
      <w:szCs w:val="20"/>
    </w:rPr>
  </w:style>
  <w:style w:type="paragraph" w:customStyle="1" w:styleId="Default">
    <w:name w:val="Default"/>
    <w:rsid w:val="00A25478"/>
    <w:pPr>
      <w:autoSpaceDE w:val="0"/>
      <w:autoSpaceDN w:val="0"/>
      <w:adjustRightInd w:val="0"/>
      <w:spacing w:after="0" w:line="240" w:lineRule="auto"/>
    </w:pPr>
    <w:rPr>
      <w:rFonts w:ascii="IBM Plex Sans" w:hAnsi="IBM Plex Sans" w:cs="IBM Plex Sans"/>
      <w:color w:val="000000"/>
      <w:sz w:val="24"/>
      <w:szCs w:val="24"/>
    </w:rPr>
  </w:style>
  <w:style w:type="character" w:styleId="Mentionnonrsolue">
    <w:name w:val="Unresolved Mention"/>
    <w:basedOn w:val="Policepardfaut"/>
    <w:uiPriority w:val="99"/>
    <w:semiHidden/>
    <w:unhideWhenUsed/>
    <w:rsid w:val="00353E4A"/>
    <w:rPr>
      <w:color w:val="605E5C"/>
      <w:shd w:val="clear" w:color="auto" w:fill="E1DFDD"/>
    </w:rPr>
  </w:style>
  <w:style w:type="character" w:styleId="Accentuation">
    <w:name w:val="Emphasis"/>
    <w:basedOn w:val="Policepardfaut"/>
    <w:uiPriority w:val="20"/>
    <w:qFormat/>
    <w:rsid w:val="00DE30BD"/>
    <w:rPr>
      <w:i/>
      <w:iCs/>
    </w:rPr>
  </w:style>
  <w:style w:type="character" w:styleId="Lienhypertextesuivivisit">
    <w:name w:val="FollowedHyperlink"/>
    <w:basedOn w:val="Policepardfaut"/>
    <w:uiPriority w:val="99"/>
    <w:semiHidden/>
    <w:unhideWhenUsed/>
    <w:rsid w:val="002B3C9B"/>
    <w:rPr>
      <w:color w:val="64665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962012">
      <w:bodyDiv w:val="1"/>
      <w:marLeft w:val="0"/>
      <w:marRight w:val="0"/>
      <w:marTop w:val="0"/>
      <w:marBottom w:val="0"/>
      <w:divBdr>
        <w:top w:val="none" w:sz="0" w:space="0" w:color="auto"/>
        <w:left w:val="none" w:sz="0" w:space="0" w:color="auto"/>
        <w:bottom w:val="none" w:sz="0" w:space="0" w:color="auto"/>
        <w:right w:val="none" w:sz="0" w:space="0" w:color="auto"/>
      </w:divBdr>
    </w:div>
    <w:div w:id="119299917">
      <w:bodyDiv w:val="1"/>
      <w:marLeft w:val="0"/>
      <w:marRight w:val="0"/>
      <w:marTop w:val="0"/>
      <w:marBottom w:val="0"/>
      <w:divBdr>
        <w:top w:val="none" w:sz="0" w:space="0" w:color="auto"/>
        <w:left w:val="none" w:sz="0" w:space="0" w:color="auto"/>
        <w:bottom w:val="none" w:sz="0" w:space="0" w:color="auto"/>
        <w:right w:val="none" w:sz="0" w:space="0" w:color="auto"/>
      </w:divBdr>
    </w:div>
    <w:div w:id="297883093">
      <w:bodyDiv w:val="1"/>
      <w:marLeft w:val="0"/>
      <w:marRight w:val="0"/>
      <w:marTop w:val="0"/>
      <w:marBottom w:val="0"/>
      <w:divBdr>
        <w:top w:val="none" w:sz="0" w:space="0" w:color="auto"/>
        <w:left w:val="none" w:sz="0" w:space="0" w:color="auto"/>
        <w:bottom w:val="none" w:sz="0" w:space="0" w:color="auto"/>
        <w:right w:val="none" w:sz="0" w:space="0" w:color="auto"/>
      </w:divBdr>
    </w:div>
    <w:div w:id="411390803">
      <w:bodyDiv w:val="1"/>
      <w:marLeft w:val="0"/>
      <w:marRight w:val="0"/>
      <w:marTop w:val="0"/>
      <w:marBottom w:val="0"/>
      <w:divBdr>
        <w:top w:val="none" w:sz="0" w:space="0" w:color="auto"/>
        <w:left w:val="none" w:sz="0" w:space="0" w:color="auto"/>
        <w:bottom w:val="none" w:sz="0" w:space="0" w:color="auto"/>
        <w:right w:val="none" w:sz="0" w:space="0" w:color="auto"/>
      </w:divBdr>
    </w:div>
    <w:div w:id="531648396">
      <w:bodyDiv w:val="1"/>
      <w:marLeft w:val="0"/>
      <w:marRight w:val="0"/>
      <w:marTop w:val="0"/>
      <w:marBottom w:val="0"/>
      <w:divBdr>
        <w:top w:val="none" w:sz="0" w:space="0" w:color="auto"/>
        <w:left w:val="none" w:sz="0" w:space="0" w:color="auto"/>
        <w:bottom w:val="none" w:sz="0" w:space="0" w:color="auto"/>
        <w:right w:val="none" w:sz="0" w:space="0" w:color="auto"/>
      </w:divBdr>
    </w:div>
    <w:div w:id="667489195">
      <w:bodyDiv w:val="1"/>
      <w:marLeft w:val="0"/>
      <w:marRight w:val="0"/>
      <w:marTop w:val="0"/>
      <w:marBottom w:val="0"/>
      <w:divBdr>
        <w:top w:val="none" w:sz="0" w:space="0" w:color="auto"/>
        <w:left w:val="none" w:sz="0" w:space="0" w:color="auto"/>
        <w:bottom w:val="none" w:sz="0" w:space="0" w:color="auto"/>
        <w:right w:val="none" w:sz="0" w:space="0" w:color="auto"/>
      </w:divBdr>
    </w:div>
    <w:div w:id="776872021">
      <w:bodyDiv w:val="1"/>
      <w:marLeft w:val="0"/>
      <w:marRight w:val="0"/>
      <w:marTop w:val="0"/>
      <w:marBottom w:val="0"/>
      <w:divBdr>
        <w:top w:val="none" w:sz="0" w:space="0" w:color="auto"/>
        <w:left w:val="none" w:sz="0" w:space="0" w:color="auto"/>
        <w:bottom w:val="none" w:sz="0" w:space="0" w:color="auto"/>
        <w:right w:val="none" w:sz="0" w:space="0" w:color="auto"/>
      </w:divBdr>
    </w:div>
    <w:div w:id="798692453">
      <w:bodyDiv w:val="1"/>
      <w:marLeft w:val="0"/>
      <w:marRight w:val="0"/>
      <w:marTop w:val="0"/>
      <w:marBottom w:val="0"/>
      <w:divBdr>
        <w:top w:val="none" w:sz="0" w:space="0" w:color="auto"/>
        <w:left w:val="none" w:sz="0" w:space="0" w:color="auto"/>
        <w:bottom w:val="none" w:sz="0" w:space="0" w:color="auto"/>
        <w:right w:val="none" w:sz="0" w:space="0" w:color="auto"/>
      </w:divBdr>
    </w:div>
    <w:div w:id="805664214">
      <w:bodyDiv w:val="1"/>
      <w:marLeft w:val="0"/>
      <w:marRight w:val="0"/>
      <w:marTop w:val="0"/>
      <w:marBottom w:val="0"/>
      <w:divBdr>
        <w:top w:val="none" w:sz="0" w:space="0" w:color="auto"/>
        <w:left w:val="none" w:sz="0" w:space="0" w:color="auto"/>
        <w:bottom w:val="none" w:sz="0" w:space="0" w:color="auto"/>
        <w:right w:val="none" w:sz="0" w:space="0" w:color="auto"/>
      </w:divBdr>
    </w:div>
    <w:div w:id="878395399">
      <w:bodyDiv w:val="1"/>
      <w:marLeft w:val="0"/>
      <w:marRight w:val="0"/>
      <w:marTop w:val="0"/>
      <w:marBottom w:val="0"/>
      <w:divBdr>
        <w:top w:val="none" w:sz="0" w:space="0" w:color="auto"/>
        <w:left w:val="none" w:sz="0" w:space="0" w:color="auto"/>
        <w:bottom w:val="none" w:sz="0" w:space="0" w:color="auto"/>
        <w:right w:val="none" w:sz="0" w:space="0" w:color="auto"/>
      </w:divBdr>
    </w:div>
    <w:div w:id="955792803">
      <w:bodyDiv w:val="1"/>
      <w:marLeft w:val="0"/>
      <w:marRight w:val="0"/>
      <w:marTop w:val="0"/>
      <w:marBottom w:val="0"/>
      <w:divBdr>
        <w:top w:val="none" w:sz="0" w:space="0" w:color="auto"/>
        <w:left w:val="none" w:sz="0" w:space="0" w:color="auto"/>
        <w:bottom w:val="none" w:sz="0" w:space="0" w:color="auto"/>
        <w:right w:val="none" w:sz="0" w:space="0" w:color="auto"/>
      </w:divBdr>
    </w:div>
    <w:div w:id="956330837">
      <w:bodyDiv w:val="1"/>
      <w:marLeft w:val="0"/>
      <w:marRight w:val="0"/>
      <w:marTop w:val="0"/>
      <w:marBottom w:val="0"/>
      <w:divBdr>
        <w:top w:val="none" w:sz="0" w:space="0" w:color="auto"/>
        <w:left w:val="none" w:sz="0" w:space="0" w:color="auto"/>
        <w:bottom w:val="none" w:sz="0" w:space="0" w:color="auto"/>
        <w:right w:val="none" w:sz="0" w:space="0" w:color="auto"/>
      </w:divBdr>
    </w:div>
    <w:div w:id="1047144071">
      <w:bodyDiv w:val="1"/>
      <w:marLeft w:val="0"/>
      <w:marRight w:val="0"/>
      <w:marTop w:val="0"/>
      <w:marBottom w:val="0"/>
      <w:divBdr>
        <w:top w:val="none" w:sz="0" w:space="0" w:color="auto"/>
        <w:left w:val="none" w:sz="0" w:space="0" w:color="auto"/>
        <w:bottom w:val="none" w:sz="0" w:space="0" w:color="auto"/>
        <w:right w:val="none" w:sz="0" w:space="0" w:color="auto"/>
      </w:divBdr>
    </w:div>
    <w:div w:id="1209032032">
      <w:bodyDiv w:val="1"/>
      <w:marLeft w:val="0"/>
      <w:marRight w:val="0"/>
      <w:marTop w:val="0"/>
      <w:marBottom w:val="0"/>
      <w:divBdr>
        <w:top w:val="none" w:sz="0" w:space="0" w:color="auto"/>
        <w:left w:val="none" w:sz="0" w:space="0" w:color="auto"/>
        <w:bottom w:val="none" w:sz="0" w:space="0" w:color="auto"/>
        <w:right w:val="none" w:sz="0" w:space="0" w:color="auto"/>
      </w:divBdr>
    </w:div>
    <w:div w:id="1388914821">
      <w:bodyDiv w:val="1"/>
      <w:marLeft w:val="0"/>
      <w:marRight w:val="0"/>
      <w:marTop w:val="0"/>
      <w:marBottom w:val="0"/>
      <w:divBdr>
        <w:top w:val="none" w:sz="0" w:space="0" w:color="auto"/>
        <w:left w:val="none" w:sz="0" w:space="0" w:color="auto"/>
        <w:bottom w:val="none" w:sz="0" w:space="0" w:color="auto"/>
        <w:right w:val="none" w:sz="0" w:space="0" w:color="auto"/>
      </w:divBdr>
    </w:div>
    <w:div w:id="1654872485">
      <w:bodyDiv w:val="1"/>
      <w:marLeft w:val="0"/>
      <w:marRight w:val="0"/>
      <w:marTop w:val="0"/>
      <w:marBottom w:val="0"/>
      <w:divBdr>
        <w:top w:val="none" w:sz="0" w:space="0" w:color="auto"/>
        <w:left w:val="none" w:sz="0" w:space="0" w:color="auto"/>
        <w:bottom w:val="none" w:sz="0" w:space="0" w:color="auto"/>
        <w:right w:val="none" w:sz="0" w:space="0" w:color="auto"/>
      </w:divBdr>
    </w:div>
    <w:div w:id="1778016630">
      <w:bodyDiv w:val="1"/>
      <w:marLeft w:val="0"/>
      <w:marRight w:val="0"/>
      <w:marTop w:val="0"/>
      <w:marBottom w:val="0"/>
      <w:divBdr>
        <w:top w:val="none" w:sz="0" w:space="0" w:color="auto"/>
        <w:left w:val="none" w:sz="0" w:space="0" w:color="auto"/>
        <w:bottom w:val="none" w:sz="0" w:space="0" w:color="auto"/>
        <w:right w:val="none" w:sz="0" w:space="0" w:color="auto"/>
      </w:divBdr>
    </w:div>
    <w:div w:id="1818188040">
      <w:bodyDiv w:val="1"/>
      <w:marLeft w:val="0"/>
      <w:marRight w:val="0"/>
      <w:marTop w:val="0"/>
      <w:marBottom w:val="0"/>
      <w:divBdr>
        <w:top w:val="none" w:sz="0" w:space="0" w:color="auto"/>
        <w:left w:val="none" w:sz="0" w:space="0" w:color="auto"/>
        <w:bottom w:val="none" w:sz="0" w:space="0" w:color="auto"/>
        <w:right w:val="none" w:sz="0" w:space="0" w:color="auto"/>
      </w:divBdr>
    </w:div>
    <w:div w:id="1894343867">
      <w:bodyDiv w:val="1"/>
      <w:marLeft w:val="0"/>
      <w:marRight w:val="0"/>
      <w:marTop w:val="0"/>
      <w:marBottom w:val="0"/>
      <w:divBdr>
        <w:top w:val="none" w:sz="0" w:space="0" w:color="auto"/>
        <w:left w:val="none" w:sz="0" w:space="0" w:color="auto"/>
        <w:bottom w:val="none" w:sz="0" w:space="0" w:color="auto"/>
        <w:right w:val="none" w:sz="0" w:space="0" w:color="auto"/>
      </w:divBdr>
    </w:div>
    <w:div w:id="1911383880">
      <w:bodyDiv w:val="1"/>
      <w:marLeft w:val="0"/>
      <w:marRight w:val="0"/>
      <w:marTop w:val="0"/>
      <w:marBottom w:val="0"/>
      <w:divBdr>
        <w:top w:val="none" w:sz="0" w:space="0" w:color="auto"/>
        <w:left w:val="none" w:sz="0" w:space="0" w:color="auto"/>
        <w:bottom w:val="none" w:sz="0" w:space="0" w:color="auto"/>
        <w:right w:val="none" w:sz="0" w:space="0" w:color="auto"/>
      </w:divBdr>
    </w:div>
    <w:div w:id="2007903758">
      <w:bodyDiv w:val="1"/>
      <w:marLeft w:val="0"/>
      <w:marRight w:val="0"/>
      <w:marTop w:val="0"/>
      <w:marBottom w:val="0"/>
      <w:divBdr>
        <w:top w:val="none" w:sz="0" w:space="0" w:color="auto"/>
        <w:left w:val="none" w:sz="0" w:space="0" w:color="auto"/>
        <w:bottom w:val="none" w:sz="0" w:space="0" w:color="auto"/>
        <w:right w:val="none" w:sz="0" w:space="0" w:color="auto"/>
      </w:divBdr>
    </w:div>
    <w:div w:id="203260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1invest.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gorastore.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1">
  <a:themeElements>
    <a:clrScheme name="21 invest">
      <a:dk1>
        <a:sysClr val="windowText" lastClr="000000"/>
      </a:dk1>
      <a:lt1>
        <a:sysClr val="window" lastClr="FFFFFF"/>
      </a:lt1>
      <a:dk2>
        <a:srgbClr val="77AAAE"/>
      </a:dk2>
      <a:lt2>
        <a:srgbClr val="E8E6E2"/>
      </a:lt2>
      <a:accent1>
        <a:srgbClr val="77AAAE"/>
      </a:accent1>
      <a:accent2>
        <a:srgbClr val="B3CACD"/>
      </a:accent2>
      <a:accent3>
        <a:srgbClr val="CEDCDE"/>
      </a:accent3>
      <a:accent4>
        <a:srgbClr val="64665D"/>
      </a:accent4>
      <a:accent5>
        <a:srgbClr val="9C9B94"/>
      </a:accent5>
      <a:accent6>
        <a:srgbClr val="CBC9C7"/>
      </a:accent6>
      <a:hlink>
        <a:srgbClr val="77AAAE"/>
      </a:hlink>
      <a:folHlink>
        <a:srgbClr val="64665D"/>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lumMod val="75000"/>
          </a:schemeClr>
        </a:solidFill>
        <a:ln w="19050">
          <a:solidFill>
            <a:schemeClr val="bg1">
              <a:lumMod val="75000"/>
            </a:schemeClr>
          </a:solidFill>
        </a:ln>
      </a:spPr>
      <a:bodyPr rtlCol="0" anchor="ctr"/>
      <a:lstStyle>
        <a:defPPr algn="ctr">
          <a:defRPr sz="900" b="1" dirty="0" smtClean="0">
            <a:solidFill>
              <a:schemeClr val="bg1"/>
            </a:solidFill>
            <a:latin typeface="IBM Plex Sans" panose="020B0503050203000203" pitchFamily="34" charset="0"/>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hème1" id="{66E73754-D50B-43C6-9B39-743711C3772E}" vid="{231BB1BA-F7B7-4AE1-A194-BC5C95D5D28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173C4-164B-47A8-BC41-3A4A4D41B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Pages>
  <Words>949</Words>
  <Characters>5225</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Astou CISS</dc:creator>
  <cp:keywords/>
  <dc:description/>
  <cp:lastModifiedBy>Olivier de La Chaise</cp:lastModifiedBy>
  <cp:revision>57</cp:revision>
  <cp:lastPrinted>2022-12-20T09:18:00Z</cp:lastPrinted>
  <dcterms:created xsi:type="dcterms:W3CDTF">2024-06-26T08:09:00Z</dcterms:created>
  <dcterms:modified xsi:type="dcterms:W3CDTF">2024-10-30T17:18:00Z</dcterms:modified>
</cp:coreProperties>
</file>